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7E7DFC" w14:textId="6A4A2ECC" w:rsidR="00727C71" w:rsidRPr="00536781" w:rsidRDefault="00000000" w:rsidP="002419FE">
      <w:pPr>
        <w:spacing w:after="60"/>
        <w:jc w:val="center"/>
        <w:rPr>
          <w:rFonts w:ascii="Arial" w:hAnsi="Arial" w:cs="Arial"/>
          <w:color w:val="auto"/>
          <w:sz w:val="24"/>
          <w:szCs w:val="24"/>
        </w:rPr>
      </w:pPr>
      <w:r w:rsidRPr="00536781">
        <w:rPr>
          <w:rFonts w:ascii="Arial" w:eastAsia="Calibri" w:hAnsi="Arial" w:cs="Arial"/>
          <w:b/>
          <w:bCs/>
          <w:color w:val="auto"/>
          <w:sz w:val="24"/>
          <w:szCs w:val="28"/>
        </w:rPr>
        <w:t>Governing Through Data in Under-Resourced Schooling Contexts:</w:t>
      </w:r>
      <w:r w:rsidRPr="00536781">
        <w:rPr>
          <w:rFonts w:ascii="Arial" w:hAnsi="Arial" w:cs="Arial"/>
          <w:color w:val="auto"/>
          <w:sz w:val="24"/>
          <w:szCs w:val="28"/>
          <w:lang w:val="en-US"/>
        </w:rPr>
        <w:t xml:space="preserve"> </w:t>
      </w:r>
      <w:r w:rsidRPr="00536781">
        <w:rPr>
          <w:rFonts w:ascii="Arial" w:eastAsia="Calibri" w:hAnsi="Arial" w:cs="Arial"/>
          <w:b/>
          <w:bCs/>
          <w:color w:val="auto"/>
          <w:sz w:val="24"/>
          <w:szCs w:val="28"/>
        </w:rPr>
        <w:t>A Critical Systematic Review of Datafication, Algorithmic Governance,</w:t>
      </w:r>
      <w:r w:rsidRPr="00536781">
        <w:rPr>
          <w:rFonts w:ascii="Arial" w:hAnsi="Arial" w:cs="Arial"/>
          <w:color w:val="auto"/>
          <w:sz w:val="24"/>
          <w:szCs w:val="28"/>
          <w:lang w:val="en-US"/>
        </w:rPr>
        <w:t xml:space="preserve"> </w:t>
      </w:r>
      <w:r w:rsidRPr="00536781">
        <w:rPr>
          <w:rFonts w:ascii="Arial" w:eastAsia="Calibri" w:hAnsi="Arial" w:cs="Arial"/>
          <w:b/>
          <w:bCs/>
          <w:color w:val="auto"/>
          <w:sz w:val="24"/>
          <w:szCs w:val="28"/>
        </w:rPr>
        <w:t>and Power Relations in Global South Public Education</w:t>
      </w:r>
    </w:p>
    <w:p w14:paraId="735D9FB0" w14:textId="77777777" w:rsidR="00536781" w:rsidRDefault="00536781" w:rsidP="005D612E">
      <w:pPr>
        <w:spacing w:line="240" w:lineRule="auto"/>
        <w:rPr>
          <w:rFonts w:ascii="Arial" w:hAnsi="Arial" w:cs="Arial"/>
          <w:b/>
          <w:bCs/>
          <w:color w:val="auto"/>
        </w:rPr>
      </w:pPr>
    </w:p>
    <w:p w14:paraId="20579DF0" w14:textId="2AF79AB1" w:rsidR="00536781" w:rsidRDefault="00536781" w:rsidP="00536781">
      <w:pPr>
        <w:spacing w:line="240" w:lineRule="auto"/>
        <w:jc w:val="center"/>
        <w:rPr>
          <w:rFonts w:ascii="Arial" w:hAnsi="Arial" w:cs="Arial"/>
          <w:b/>
          <w:bCs/>
          <w:color w:val="auto"/>
        </w:rPr>
      </w:pPr>
      <w:r>
        <w:rPr>
          <w:rFonts w:ascii="Arial" w:hAnsi="Arial" w:cs="Arial"/>
          <w:b/>
          <w:bCs/>
          <w:color w:val="auto"/>
        </w:rPr>
        <w:t>Abstract:</w:t>
      </w:r>
    </w:p>
    <w:p w14:paraId="3F41462F" w14:textId="77777777" w:rsidR="00536781" w:rsidRDefault="00536781" w:rsidP="005D612E">
      <w:pPr>
        <w:spacing w:line="240" w:lineRule="auto"/>
        <w:rPr>
          <w:rFonts w:ascii="Arial" w:hAnsi="Arial" w:cs="Arial"/>
          <w:b/>
          <w:bCs/>
          <w:color w:val="auto"/>
        </w:rPr>
      </w:pPr>
    </w:p>
    <w:p w14:paraId="28DEE2DE" w14:textId="6C4A2440" w:rsidR="00727C71" w:rsidRPr="005D612E" w:rsidRDefault="00000000" w:rsidP="005D612E">
      <w:pPr>
        <w:spacing w:line="240" w:lineRule="auto"/>
        <w:rPr>
          <w:rFonts w:ascii="Arial" w:hAnsi="Arial" w:cs="Arial"/>
          <w:color w:val="auto"/>
        </w:rPr>
      </w:pPr>
      <w:r w:rsidRPr="005D612E">
        <w:rPr>
          <w:rFonts w:ascii="Arial" w:hAnsi="Arial" w:cs="Arial"/>
          <w:b/>
          <w:bCs/>
          <w:color w:val="auto"/>
        </w:rPr>
        <w:t xml:space="preserve">Background: </w:t>
      </w:r>
      <w:r w:rsidRPr="005D612E">
        <w:rPr>
          <w:rFonts w:ascii="Arial" w:hAnsi="Arial" w:cs="Arial"/>
          <w:color w:val="auto"/>
        </w:rPr>
        <w:t xml:space="preserve">The datafication of public education (the conversion of institutional and pedagogical practice into digital data for algorithmic processing) is reconfiguring how schools are governed, how teachers are evaluated, and how students are understood as institutional subjects. Although this transformation is most advanced in Global North contexts, it is accelerating rapidly in resource-constrained Global South public schooling systems that differ fundamentally from those in which extant governance frameworks were conceived. </w:t>
      </w:r>
      <w:r w:rsidRPr="005D612E">
        <w:rPr>
          <w:rFonts w:ascii="Arial" w:hAnsi="Arial" w:cs="Arial"/>
          <w:b/>
          <w:bCs/>
          <w:color w:val="auto"/>
        </w:rPr>
        <w:t xml:space="preserve">Objectives: </w:t>
      </w:r>
      <w:r w:rsidRPr="005D612E">
        <w:rPr>
          <w:rFonts w:ascii="Arial" w:hAnsi="Arial" w:cs="Arial"/>
          <w:color w:val="auto"/>
        </w:rPr>
        <w:t xml:space="preserve">This critical systematic review synthesises empirical and theoretical literature published between 2015 and 2025 to examine how datafied and algorithmic governance infrastructures reshape power relations in under-resourced Global South public education systems, and to identify the mechanisms by which colonial knowledge logics are reproduced through educational datafication. </w:t>
      </w:r>
    </w:p>
    <w:p w14:paraId="12CC8081" w14:textId="3AC696E1" w:rsidR="00727C71" w:rsidRPr="005D612E" w:rsidRDefault="00000000" w:rsidP="005D612E">
      <w:pPr>
        <w:spacing w:line="240" w:lineRule="auto"/>
        <w:rPr>
          <w:rFonts w:ascii="Arial" w:hAnsi="Arial" w:cs="Arial"/>
          <w:color w:val="auto"/>
        </w:rPr>
      </w:pPr>
      <w:r w:rsidRPr="005D612E">
        <w:rPr>
          <w:rFonts w:ascii="Arial" w:hAnsi="Arial" w:cs="Arial"/>
          <w:b/>
          <w:bCs/>
          <w:color w:val="auto"/>
        </w:rPr>
        <w:t xml:space="preserve">Methods: </w:t>
      </w:r>
      <w:r w:rsidRPr="005D612E">
        <w:rPr>
          <w:rFonts w:ascii="Arial" w:hAnsi="Arial" w:cs="Arial"/>
          <w:color w:val="auto"/>
        </w:rPr>
        <w:t xml:space="preserve">Following a PRISMA-guided integrative systematic review protocol, 1,847 records across five databases (Scopus, Web of Science, ERIC, PsycINFO, Google Scholar) have been screened, applying pre-registered eligibility criteria to arrive at a final corpus of 42 sources. Thematic synthesis was conducted using Thomas and Harden's (2008) three-stage procedure. </w:t>
      </w:r>
      <w:r w:rsidRPr="005D612E">
        <w:rPr>
          <w:rFonts w:ascii="Arial" w:hAnsi="Arial" w:cs="Arial"/>
          <w:b/>
          <w:bCs/>
          <w:color w:val="auto"/>
        </w:rPr>
        <w:t xml:space="preserve">Results: </w:t>
      </w:r>
      <w:r w:rsidRPr="005D612E">
        <w:rPr>
          <w:rFonts w:ascii="Arial" w:hAnsi="Arial" w:cs="Arial"/>
          <w:color w:val="auto"/>
        </w:rPr>
        <w:t xml:space="preserve">Four analytical themes are identified: (1) the reproduction of colonial epistemic logics through data governance technology transfer; (2) algorithmic managerialism and the structural erosion of teacher professional autonomy; (3) the datafication of student subjectivity from pedagogical agent to governable object; and (4) the structural misalignment between internationally circulating AI governance frameworks and the institutional realities of under-resourced schooling. </w:t>
      </w:r>
    </w:p>
    <w:p w14:paraId="23C4ED5E" w14:textId="2A7DCB1B" w:rsidR="00765F7C" w:rsidRPr="005D612E" w:rsidRDefault="00000000" w:rsidP="005D612E">
      <w:pPr>
        <w:spacing w:line="240" w:lineRule="auto"/>
        <w:rPr>
          <w:rFonts w:ascii="Arial" w:hAnsi="Arial" w:cs="Arial"/>
          <w:color w:val="auto"/>
        </w:rPr>
      </w:pPr>
      <w:r w:rsidRPr="005D612E">
        <w:rPr>
          <w:rFonts w:ascii="Arial" w:hAnsi="Arial" w:cs="Arial"/>
          <w:b/>
          <w:bCs/>
          <w:color w:val="auto"/>
        </w:rPr>
        <w:t xml:space="preserve">Contribution: </w:t>
      </w:r>
      <w:r w:rsidRPr="005D612E">
        <w:rPr>
          <w:rFonts w:ascii="Arial" w:hAnsi="Arial" w:cs="Arial"/>
          <w:color w:val="auto"/>
        </w:rPr>
        <w:t xml:space="preserve">We propose Datafied Coloniality in Education (DCE) as an original conceptual framework integrating Foucauldian governmentality, postcolonial education theory, and sociotechnical systems perspectives. DCE specifies three </w:t>
      </w:r>
      <w:r w:rsidR="002A5ED7" w:rsidRPr="005D612E">
        <w:rPr>
          <w:rFonts w:ascii="Arial" w:hAnsi="Arial" w:cs="Arial"/>
          <w:color w:val="auto"/>
        </w:rPr>
        <w:t>mechanisms</w:t>
      </w:r>
      <w:r w:rsidR="002A5ED7">
        <w:rPr>
          <w:rFonts w:ascii="Arial" w:hAnsi="Arial" w:cs="Arial"/>
          <w:color w:val="auto"/>
        </w:rPr>
        <w:t>,</w:t>
      </w:r>
      <w:r w:rsidR="002A5ED7" w:rsidRPr="005D612E">
        <w:rPr>
          <w:rFonts w:ascii="Arial" w:hAnsi="Arial" w:cs="Arial"/>
          <w:color w:val="auto"/>
        </w:rPr>
        <w:t xml:space="preserve"> epistemic</w:t>
      </w:r>
      <w:r w:rsidRPr="005D612E">
        <w:rPr>
          <w:rFonts w:ascii="Arial" w:hAnsi="Arial" w:cs="Arial"/>
          <w:color w:val="auto"/>
        </w:rPr>
        <w:t xml:space="preserve"> appropriation, structural amplification, and subject </w:t>
      </w:r>
      <w:r w:rsidR="002A5ED7" w:rsidRPr="005D612E">
        <w:rPr>
          <w:rFonts w:ascii="Arial" w:hAnsi="Arial" w:cs="Arial"/>
          <w:color w:val="auto"/>
        </w:rPr>
        <w:t>formation</w:t>
      </w:r>
      <w:r w:rsidR="002A5ED7">
        <w:rPr>
          <w:rFonts w:ascii="Arial" w:hAnsi="Arial" w:cs="Arial"/>
          <w:color w:val="auto"/>
        </w:rPr>
        <w:t>,</w:t>
      </w:r>
      <w:r w:rsidR="002A5ED7" w:rsidRPr="005D612E">
        <w:rPr>
          <w:rFonts w:ascii="Arial" w:hAnsi="Arial" w:cs="Arial"/>
          <w:color w:val="auto"/>
        </w:rPr>
        <w:t xml:space="preserve"> through</w:t>
      </w:r>
      <w:r w:rsidRPr="005D612E">
        <w:rPr>
          <w:rFonts w:ascii="Arial" w:hAnsi="Arial" w:cs="Arial"/>
          <w:color w:val="auto"/>
        </w:rPr>
        <w:t xml:space="preserve"> which global data governance logics enact colonial relations in under-resourced public schooling. A five-point research agenda is advanced for future empirical work.</w:t>
      </w:r>
    </w:p>
    <w:p w14:paraId="54D2E432" w14:textId="77777777" w:rsidR="00765F7C" w:rsidRPr="005D612E" w:rsidRDefault="00765F7C">
      <w:pPr>
        <w:spacing w:before="60" w:after="60"/>
        <w:rPr>
          <w:rFonts w:ascii="Arial" w:hAnsi="Arial" w:cs="Arial"/>
          <w:color w:val="auto"/>
        </w:rPr>
      </w:pPr>
    </w:p>
    <w:p w14:paraId="659CE4A5" w14:textId="77777777" w:rsidR="00CE03F1" w:rsidRDefault="00000000" w:rsidP="00CE03F1">
      <w:pPr>
        <w:spacing w:before="80" w:after="80" w:line="240" w:lineRule="auto"/>
        <w:rPr>
          <w:rFonts w:ascii="Arial" w:hAnsi="Arial" w:cs="Arial"/>
          <w:color w:val="auto"/>
        </w:rPr>
      </w:pPr>
      <w:r w:rsidRPr="005D612E">
        <w:rPr>
          <w:rFonts w:ascii="Arial" w:hAnsi="Arial" w:cs="Arial"/>
          <w:b/>
          <w:bCs/>
          <w:color w:val="auto"/>
        </w:rPr>
        <w:t xml:space="preserve">Keywords: </w:t>
      </w:r>
      <w:r w:rsidRPr="00CE03F1">
        <w:rPr>
          <w:rFonts w:ascii="Arial" w:hAnsi="Arial" w:cs="Arial"/>
          <w:i/>
          <w:iCs/>
          <w:color w:val="auto"/>
        </w:rPr>
        <w:t>datafication; algorithmic governance; educational surveillance; teacher professional identity; power relations; Global South; postcolonial education theory; critical data studies; AI in education; school management information systems; data colonialism</w:t>
      </w:r>
    </w:p>
    <w:p w14:paraId="44C44E37" w14:textId="77777777" w:rsidR="00CE03F1" w:rsidRDefault="00CE03F1">
      <w:pPr>
        <w:spacing w:line="240" w:lineRule="auto"/>
        <w:jc w:val="left"/>
        <w:rPr>
          <w:rFonts w:ascii="Arial" w:hAnsi="Arial" w:cs="Arial"/>
          <w:color w:val="auto"/>
        </w:rPr>
      </w:pPr>
      <w:r>
        <w:rPr>
          <w:rFonts w:ascii="Arial" w:hAnsi="Arial" w:cs="Arial"/>
          <w:color w:val="auto"/>
        </w:rPr>
        <w:br w:type="page"/>
      </w:r>
    </w:p>
    <w:p w14:paraId="5C28C02A" w14:textId="4EFC6BE7" w:rsidR="00765F7C" w:rsidRPr="005D612E" w:rsidRDefault="00000000" w:rsidP="00CE03F1">
      <w:pPr>
        <w:pStyle w:val="Heading2"/>
      </w:pPr>
      <w:r w:rsidRPr="005D612E">
        <w:lastRenderedPageBreak/>
        <w:t>1. Introduction</w:t>
      </w:r>
    </w:p>
    <w:p w14:paraId="2260ED1E" w14:textId="199C5328" w:rsidR="00765F7C" w:rsidRPr="005D612E" w:rsidRDefault="00000000" w:rsidP="003E13B8">
      <w:pPr>
        <w:rPr>
          <w:rFonts w:ascii="Arial" w:hAnsi="Arial" w:cs="Arial"/>
          <w:color w:val="auto"/>
        </w:rPr>
      </w:pPr>
      <w:r w:rsidRPr="005D612E">
        <w:rPr>
          <w:rFonts w:ascii="Arial" w:hAnsi="Arial" w:cs="Arial"/>
          <w:color w:val="auto"/>
        </w:rPr>
        <w:t>The governance of public schooling has always been mediated by technologies of inscription such as registers, inspectors' reports, standardised examinations. What is fundamentally new about the present moment is the scale, granularity, and speed of that inscription, and the degree to which algorithmic systems now act upon its outputs with minimal human deliberation. Across diverse national contexts, schools are governed through digital attendance systems, AI-assisted performance dashboards, and large-scale Education Management Information Systems (EMIS) that aggregate data on enrolment, infrastructure, and learning outcomes in real time (Pesek, 2026). This is datafication: the process by which social and institutional practices are rendered as discrete, comparable, and computationally actionable data (van Dijck, 2014; Mayer-Schoenberger &amp; Cukier, 2013).</w:t>
      </w:r>
    </w:p>
    <w:p w14:paraId="7B7553EA" w14:textId="0F9A257D" w:rsidR="00765F7C" w:rsidRPr="005D612E" w:rsidRDefault="00000000" w:rsidP="00956EE0">
      <w:pPr>
        <w:rPr>
          <w:rFonts w:ascii="Arial" w:hAnsi="Arial" w:cs="Arial"/>
          <w:color w:val="auto"/>
        </w:rPr>
      </w:pPr>
      <w:r w:rsidRPr="005D612E">
        <w:rPr>
          <w:rFonts w:ascii="Arial" w:hAnsi="Arial" w:cs="Arial"/>
          <w:color w:val="auto"/>
        </w:rPr>
        <w:t>Critical scholarship on educational datafication has produced increasingly sophisticated accounts of its governance implications: the narrowing of pedagogical practice under data performativity, the intensification of institutional surveillance, the erosion of teacher professional discretion, and the reframing of students as data objects rather than learning subjects (Selwyn, 2020; Bradbury &amp; Roberts-Holmes, 2017; Daliri-Ngametua et al., 2022). This body of work is theoretically rich and empirically important. It is also, however, geographically concentrated: the overwhelming majority of its empirical base derives from the United Kingdom, the United States, and Australia. Countries whose public-school systems are characterised by relatively stable institutional infrastructure, protected teacher professionalism, and established regulatory frameworks (Pangrazio et al., 2023).</w:t>
      </w:r>
    </w:p>
    <w:p w14:paraId="5F2124CD" w14:textId="41FE724F" w:rsidR="00765F7C" w:rsidRPr="005D612E" w:rsidRDefault="00000000" w:rsidP="00956EE0">
      <w:pPr>
        <w:rPr>
          <w:rFonts w:ascii="Arial" w:hAnsi="Arial" w:cs="Arial"/>
          <w:color w:val="auto"/>
        </w:rPr>
      </w:pPr>
      <w:r w:rsidRPr="005D612E">
        <w:rPr>
          <w:rFonts w:ascii="Arial" w:hAnsi="Arial" w:cs="Arial"/>
          <w:color w:val="auto"/>
        </w:rPr>
        <w:t>This geographic restriction is not merely a gap in coverage; it is a theoretical problem. Public school systems in the Global South, across South Asia, Sub-Saharan Africa, Latin America, and Southeast Asia, educate the majority of the world's school-age children (UNESCO, 2023). They are sites of active and accelerating datafication, driven by international development lending, national digitisation agendas, and the global expansion of commercial education technology platforms (Taylor &amp; Broeders, 2015; UNICEF, 2025). Yet the critical frameworks used to analyse datafied governance in these contexts are calibrated to institutional conditions that frequently do not hold: adequate digital infrastructure, professionally autonomous and securely employed teachers, administrative capacity to interpret and respond to data outputs, and regulatory agencies capable of independent monitoring.</w:t>
      </w:r>
      <w:r w:rsidRPr="005D612E">
        <w:rPr>
          <w:rFonts w:ascii="Arial" w:hAnsi="Arial" w:cs="Arial"/>
          <w:i/>
          <w:iCs/>
          <w:color w:val="auto"/>
        </w:rPr>
        <w:t xml:space="preserve"> </w:t>
      </w:r>
    </w:p>
    <w:p w14:paraId="7A766B96" w14:textId="52F99F2F" w:rsidR="00765F7C" w:rsidRDefault="00000000" w:rsidP="00727C71">
      <w:pPr>
        <w:spacing w:before="80" w:after="80" w:line="480" w:lineRule="auto"/>
        <w:rPr>
          <w:rFonts w:ascii="Arial" w:hAnsi="Arial" w:cs="Arial"/>
          <w:color w:val="auto"/>
        </w:rPr>
      </w:pPr>
      <w:r w:rsidRPr="005D612E">
        <w:rPr>
          <w:rFonts w:ascii="Arial" w:hAnsi="Arial" w:cs="Arial"/>
          <w:color w:val="auto"/>
        </w:rPr>
        <w:t>This review paper addresses that problem directly. A critical integrative systematic review of literature has been conducted, published between 2015 and 2025, synthesising empirical and theoretical work from education studies, critical data studies, postcolonial theory, and science and technology studies (STS) to examine how datafied and algorithmic governance infrastructures reshape power relations in under-resourced Global South public education systems. Three contributions have been established. First, initial systematic review has been provided to explicitly centre Global South public schooling in the critical educational datafication literature. Second, to identify analytical themes that transcend any single framework, studies have been synthesized across disciplinary traditions. Third, a novel conceptual framework, Datafied Coloniality in Education (DCE), has been developed to guide future empirical research in this undertheorized space.</w:t>
      </w:r>
    </w:p>
    <w:p w14:paraId="0315ED2E" w14:textId="648EC1D3" w:rsidR="005D612E" w:rsidRPr="005D612E" w:rsidRDefault="005D612E" w:rsidP="005D612E">
      <w:pPr>
        <w:pStyle w:val="Heading2"/>
      </w:pPr>
      <w:r>
        <w:t xml:space="preserve">2. Methodology </w:t>
      </w:r>
    </w:p>
    <w:p w14:paraId="2517084A" w14:textId="77777777" w:rsidR="00765F7C" w:rsidRPr="005D612E" w:rsidRDefault="00000000" w:rsidP="005D612E">
      <w:pPr>
        <w:pStyle w:val="Heading3"/>
      </w:pPr>
      <w:r w:rsidRPr="005D612E">
        <w:t>2.1 Review Design</w:t>
      </w:r>
    </w:p>
    <w:p w14:paraId="4815691A" w14:textId="280FE62C" w:rsidR="005D612E" w:rsidRPr="005D612E" w:rsidRDefault="00000000" w:rsidP="005D612E">
      <w:pPr>
        <w:rPr>
          <w:rFonts w:ascii="Arial" w:hAnsi="Arial" w:cs="Arial"/>
          <w:color w:val="auto"/>
        </w:rPr>
      </w:pPr>
      <w:r w:rsidRPr="005D612E">
        <w:rPr>
          <w:rFonts w:ascii="Arial" w:hAnsi="Arial" w:cs="Arial"/>
          <w:color w:val="auto"/>
        </w:rPr>
        <w:t>This review employs a critical integrative systematic review design (Whittemore &amp; Knafl, 2005; Torraco, 2016). Unlike conventional systematic reviews designed to aggregate homogeneous empirical findings toward a single meta-analytic conclusion, integrative reviews are equipped to handle heterogeneous bodies of literature spanning theoretical, empirical, and methodological sources across disciplines (Grant &amp; Booth, 2009). This design is appropriate for two reasons. First, the literature on educational datafication in Global South contexts is not sufficiently homogeneous in method. Second, the review's purpose is explicitly critical and constructive: not merely to catalogue findings but to reframe the field through a theoretical lens, making visible its constitutive assumptions and generating an alternative conceptual framework</w:t>
      </w:r>
    </w:p>
    <w:p w14:paraId="18136768" w14:textId="77777777" w:rsidR="00765F7C" w:rsidRPr="005D612E" w:rsidRDefault="00000000" w:rsidP="005D612E">
      <w:pPr>
        <w:pStyle w:val="Heading3"/>
      </w:pPr>
      <w:r w:rsidRPr="005D612E">
        <w:t>2.2 Search Protocol and Eligibility Criteria</w:t>
      </w:r>
    </w:p>
    <w:p w14:paraId="3B72D108" w14:textId="77777777" w:rsidR="00765F7C" w:rsidRPr="005D612E" w:rsidRDefault="00000000" w:rsidP="0066148D">
      <w:pPr>
        <w:rPr>
          <w:rFonts w:ascii="Arial" w:hAnsi="Arial" w:cs="Arial"/>
          <w:color w:val="auto"/>
        </w:rPr>
      </w:pPr>
      <w:r w:rsidRPr="005D612E">
        <w:rPr>
          <w:rFonts w:ascii="Arial" w:hAnsi="Arial" w:cs="Arial"/>
          <w:color w:val="auto"/>
        </w:rPr>
        <w:t>The literature search was conducted across five databases: Scopus, Web of Science, ERIC, PsycINFO, and Google Scholar. Boolean search strings combined terms across three conceptual pillars: (a) datafication and algorithmic governance in education ("datafication AND education"; "algorithmic governance AND school"; "AI surveillance AND teacher"; "EMIS AND Global South"); (b) power, surveillance, and professional identity ("data performativity AND teacher"; "educational accountability AND power"; "teacher autonomy AND surveillance"); and (c) postcolonial, equity, or contextual perspectives ("data colonialism AND education"; "postcolonial AND educational technology"; "Global South AND school governance"). The search was limited to publications from January 2015 to December 2025.</w:t>
      </w:r>
    </w:p>
    <w:p w14:paraId="43548432" w14:textId="77777777" w:rsidR="007377DD" w:rsidRPr="005D612E" w:rsidRDefault="00000000" w:rsidP="0066148D">
      <w:pPr>
        <w:rPr>
          <w:rFonts w:ascii="Arial" w:hAnsi="Arial" w:cs="Arial"/>
          <w:color w:val="auto"/>
        </w:rPr>
      </w:pPr>
      <w:r w:rsidRPr="005D612E">
        <w:rPr>
          <w:rFonts w:ascii="Arial" w:hAnsi="Arial" w:cs="Arial"/>
          <w:color w:val="auto"/>
        </w:rPr>
        <w:t xml:space="preserve">Inclusion criteria required sources to be: </w:t>
      </w:r>
    </w:p>
    <w:p w14:paraId="3256D64F" w14:textId="520CEDF3" w:rsidR="007377DD" w:rsidRPr="005D612E" w:rsidRDefault="00000000" w:rsidP="007377DD">
      <w:pPr>
        <w:pStyle w:val="ListParagraph"/>
        <w:numPr>
          <w:ilvl w:val="0"/>
          <w:numId w:val="4"/>
        </w:numPr>
        <w:spacing w:line="360" w:lineRule="auto"/>
        <w:rPr>
          <w:rFonts w:ascii="Arial" w:hAnsi="Arial" w:cs="Arial"/>
          <w:color w:val="auto"/>
        </w:rPr>
      </w:pPr>
      <w:r w:rsidRPr="005D612E">
        <w:rPr>
          <w:rFonts w:ascii="Arial" w:hAnsi="Arial" w:cs="Arial"/>
          <w:color w:val="auto"/>
        </w:rPr>
        <w:t xml:space="preserve">peer-reviewed or published by an established academic press </w:t>
      </w:r>
    </w:p>
    <w:p w14:paraId="664379E2" w14:textId="14B86A63" w:rsidR="007377DD" w:rsidRPr="005D612E" w:rsidRDefault="00000000" w:rsidP="007377DD">
      <w:pPr>
        <w:pStyle w:val="ListParagraph"/>
        <w:numPr>
          <w:ilvl w:val="0"/>
          <w:numId w:val="4"/>
        </w:numPr>
        <w:spacing w:line="360" w:lineRule="auto"/>
        <w:rPr>
          <w:rFonts w:ascii="Arial" w:hAnsi="Arial" w:cs="Arial"/>
          <w:color w:val="auto"/>
        </w:rPr>
      </w:pPr>
      <w:r w:rsidRPr="005D612E">
        <w:rPr>
          <w:rFonts w:ascii="Arial" w:hAnsi="Arial" w:cs="Arial"/>
          <w:color w:val="auto"/>
        </w:rPr>
        <w:t>substantively engaging with at least one conceptual pillar</w:t>
      </w:r>
    </w:p>
    <w:p w14:paraId="5225CBB9" w14:textId="6665DD99" w:rsidR="007377DD" w:rsidRPr="005D612E" w:rsidRDefault="00000000" w:rsidP="007377DD">
      <w:pPr>
        <w:pStyle w:val="ListParagraph"/>
        <w:numPr>
          <w:ilvl w:val="0"/>
          <w:numId w:val="4"/>
        </w:numPr>
        <w:spacing w:line="360" w:lineRule="auto"/>
        <w:rPr>
          <w:rFonts w:ascii="Arial" w:hAnsi="Arial" w:cs="Arial"/>
          <w:color w:val="auto"/>
        </w:rPr>
      </w:pPr>
      <w:r w:rsidRPr="005D612E">
        <w:rPr>
          <w:rFonts w:ascii="Arial" w:hAnsi="Arial" w:cs="Arial"/>
          <w:color w:val="auto"/>
        </w:rPr>
        <w:t xml:space="preserve">available in English. </w:t>
      </w:r>
    </w:p>
    <w:p w14:paraId="3EC9E7FD" w14:textId="45A7D1BB" w:rsidR="00765F7C" w:rsidRPr="005D612E" w:rsidRDefault="00000000" w:rsidP="0066148D">
      <w:pPr>
        <w:rPr>
          <w:rFonts w:ascii="Arial" w:hAnsi="Arial" w:cs="Arial"/>
          <w:color w:val="auto"/>
        </w:rPr>
      </w:pPr>
      <w:r w:rsidRPr="005D612E">
        <w:rPr>
          <w:rFonts w:ascii="Arial" w:hAnsi="Arial" w:cs="Arial"/>
          <w:color w:val="auto"/>
        </w:rPr>
        <w:t>Sources were excluded if they were purely technical or engineering-focused without governance or equity implications, restricted exclusively to higher education learning analytics without relevance to school-level power relations, or lacked theoretical engagement with equity, power, or institutional context. Figure 1 presents the PRISMA flow diagram.</w:t>
      </w:r>
    </w:p>
    <w:p w14:paraId="62D5A4B5" w14:textId="1B124A10" w:rsidR="009D0EEA" w:rsidRPr="005D612E" w:rsidRDefault="009D0EEA">
      <w:pPr>
        <w:spacing w:line="240" w:lineRule="auto"/>
        <w:jc w:val="left"/>
        <w:rPr>
          <w:rFonts w:ascii="Arial" w:hAnsi="Arial" w:cs="Arial"/>
          <w:color w:val="auto"/>
        </w:rPr>
      </w:pPr>
      <w:r w:rsidRPr="005D612E">
        <w:rPr>
          <w:rFonts w:ascii="Arial" w:hAnsi="Arial" w:cs="Arial"/>
          <w:color w:val="auto"/>
        </w:rPr>
        <w:br w:type="page"/>
      </w:r>
    </w:p>
    <w:p w14:paraId="391C9EC1" w14:textId="77777777" w:rsidR="00765F7C" w:rsidRPr="005D612E" w:rsidRDefault="00000000">
      <w:pPr>
        <w:spacing w:before="80" w:after="40"/>
        <w:jc w:val="center"/>
        <w:rPr>
          <w:rFonts w:ascii="Arial" w:hAnsi="Arial" w:cs="Arial"/>
          <w:color w:val="auto"/>
        </w:rPr>
      </w:pPr>
      <w:r w:rsidRPr="005D612E">
        <w:rPr>
          <w:rFonts w:ascii="Arial" w:eastAsia="Calibri" w:hAnsi="Arial" w:cs="Arial"/>
          <w:b/>
          <w:bCs/>
          <w:color w:val="auto"/>
        </w:rPr>
        <w:t>Figure 1. PRISMA Flow Diagram for Systematic Literature Search (2015–2025)</w:t>
      </w:r>
    </w:p>
    <w:p w14:paraId="690C1D7C"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72576" behindDoc="0" locked="0" layoutInCell="1" allowOverlap="1" wp14:anchorId="38797723" wp14:editId="26DC4312">
                <wp:simplePos x="0" y="0"/>
                <wp:positionH relativeFrom="column">
                  <wp:posOffset>566928</wp:posOffset>
                </wp:positionH>
                <wp:positionV relativeFrom="paragraph">
                  <wp:posOffset>74245</wp:posOffset>
                </wp:positionV>
                <wp:extent cx="4345229" cy="262966"/>
                <wp:effectExtent l="0" t="0" r="17780" b="22860"/>
                <wp:wrapNone/>
                <wp:docPr id="29" name="Flowchart: Alternate Process 29"/>
                <wp:cNvGraphicFramePr/>
                <a:graphic xmlns:a="http://schemas.openxmlformats.org/drawingml/2006/main">
                  <a:graphicData uri="http://schemas.microsoft.com/office/word/2010/wordprocessingShape">
                    <wps:wsp>
                      <wps:cNvSpPr/>
                      <wps:spPr>
                        <a:xfrm>
                          <a:off x="0" y="0"/>
                          <a:ext cx="4345229" cy="262966"/>
                        </a:xfrm>
                        <a:prstGeom prst="flowChartAlternateProcess">
                          <a:avLst/>
                        </a:prstGeom>
                      </wps:spPr>
                      <wps:style>
                        <a:lnRef idx="2">
                          <a:schemeClr val="accent4">
                            <a:shade val="50000"/>
                          </a:schemeClr>
                        </a:lnRef>
                        <a:fillRef idx="1">
                          <a:schemeClr val="accent4"/>
                        </a:fillRef>
                        <a:effectRef idx="0">
                          <a:schemeClr val="accent4"/>
                        </a:effectRef>
                        <a:fontRef idx="minor">
                          <a:schemeClr val="lt1"/>
                        </a:fontRef>
                      </wps:style>
                      <wps:txbx>
                        <w:txbxContent>
                          <w:p w14:paraId="18D699AC" w14:textId="77777777" w:rsidR="007377DD" w:rsidRPr="001502CF" w:rsidRDefault="007377DD" w:rsidP="007377DD">
                            <w:pPr>
                              <w:spacing w:line="240" w:lineRule="auto"/>
                              <w:jc w:val="center"/>
                              <w:rPr>
                                <w:rFonts w:ascii="Arial" w:hAnsi="Arial" w:cs="Arial"/>
                                <w:b/>
                                <w:color w:val="000000" w:themeColor="text1"/>
                                <w:sz w:val="18"/>
                                <w:szCs w:val="18"/>
                              </w:rPr>
                            </w:pPr>
                            <w:r>
                              <w:rPr>
                                <w:rFonts w:ascii="Arial" w:hAnsi="Arial" w:cs="Arial"/>
                                <w:b/>
                                <w:color w:val="000000" w:themeColor="text1"/>
                                <w:sz w:val="18"/>
                                <w:szCs w:val="18"/>
                              </w:rPr>
                              <w:t>Identification of studies via databases and registers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8797723"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29" o:spid="_x0000_s1026" type="#_x0000_t176" style="position:absolute;left:0;text-align:left;margin-left:44.65pt;margin-top:5.85pt;width:342.15pt;height:20.7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" fillcolor="#ffc000 [3207]" strokecolor="#7f5f00 [1607]" strokeweight="1pt">
                <v:textbox>
                  <w:txbxContent>
                    <w:p w14:paraId="18D699AC" w14:textId="77777777" w:rsidR="007377DD" w:rsidRPr="001502CF" w:rsidRDefault="007377DD" w:rsidP="007377DD">
                      <w:pPr>
                        <w:spacing w:line="240" w:lineRule="auto"/>
                        <w:jc w:val="center"/>
                        <w:rPr>
                          <w:rFonts w:ascii="Arial" w:hAnsi="Arial" w:cs="Arial"/>
                          <w:b/>
                          <w:color w:val="000000" w:themeColor="text1"/>
                          <w:sz w:val="18"/>
                          <w:szCs w:val="18"/>
                        </w:rPr>
                      </w:pPr>
                      <w:r>
                        <w:rPr>
                          <w:rFonts w:ascii="Arial" w:hAnsi="Arial" w:cs="Arial"/>
                          <w:b/>
                          <w:color w:val="000000" w:themeColor="text1"/>
                          <w:sz w:val="18"/>
                          <w:szCs w:val="18"/>
                        </w:rPr>
                        <w:t>Identification of studies via databases and registers</w:t>
                      </w:r>
                    </w:p>
                  </w:txbxContent>
                </v:textbox>
              </v:shape>
            </w:pict>
          </mc:Fallback>
        </mc:AlternateContent>
      </w:r>
    </w:p>
    <w:p w14:paraId="10D41F14" w14:textId="77777777" w:rsidR="007377DD" w:rsidRPr="005D612E" w:rsidRDefault="007377DD" w:rsidP="007377DD">
      <w:pPr>
        <w:spacing w:line="240" w:lineRule="auto"/>
        <w:rPr>
          <w:rFonts w:ascii="Arial" w:hAnsi="Arial" w:cs="Arial"/>
          <w:color w:val="auto"/>
        </w:rPr>
      </w:pPr>
    </w:p>
    <w:p w14:paraId="34B8ED80"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60288" behindDoc="0" locked="0" layoutInCell="1" allowOverlap="1" wp14:anchorId="6B05DCB5" wp14:editId="5AF0FD6B">
                <wp:simplePos x="0" y="0"/>
                <wp:positionH relativeFrom="column">
                  <wp:posOffset>3039466</wp:posOffset>
                </wp:positionH>
                <wp:positionV relativeFrom="paragraph">
                  <wp:posOffset>77064</wp:posOffset>
                </wp:positionV>
                <wp:extent cx="1887220" cy="1242999"/>
                <wp:effectExtent l="0" t="0" r="17780" b="14605"/>
                <wp:wrapNone/>
                <wp:docPr id="2" name="Rectangle 2"/>
                <wp:cNvGraphicFramePr/>
                <a:graphic xmlns:a="http://schemas.openxmlformats.org/drawingml/2006/main">
                  <a:graphicData uri="http://schemas.microsoft.com/office/word/2010/wordprocessingShape">
                    <wps:wsp>
                      <wps:cNvSpPr/>
                      <wps:spPr>
                        <a:xfrm>
                          <a:off x="0" y="0"/>
                          <a:ext cx="1887220" cy="124299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8B7763"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 xml:space="preserve">Records removed </w:t>
                            </w:r>
                            <w:r>
                              <w:rPr>
                                <w:rFonts w:ascii="Arial" w:hAnsi="Arial" w:cs="Arial"/>
                                <w:i/>
                                <w:iCs/>
                                <w:color w:val="000000" w:themeColor="text1"/>
                                <w:sz w:val="18"/>
                                <w:szCs w:val="20"/>
                              </w:rPr>
                              <w:t>before screening</w:t>
                            </w:r>
                            <w:r>
                              <w:rPr>
                                <w:rFonts w:ascii="Arial" w:hAnsi="Arial" w:cs="Arial"/>
                                <w:color w:val="000000" w:themeColor="text1"/>
                                <w:sz w:val="18"/>
                                <w:szCs w:val="20"/>
                              </w:rPr>
                              <w:t>:</w:t>
                            </w:r>
                          </w:p>
                          <w:p w14:paraId="296FED81" w14:textId="1F6D8729" w:rsidR="007377DD" w:rsidRDefault="007377DD" w:rsidP="007377DD">
                            <w:pPr>
                              <w:spacing w:line="240" w:lineRule="auto"/>
                              <w:ind w:left="284"/>
                              <w:rPr>
                                <w:rFonts w:ascii="Arial" w:hAnsi="Arial" w:cs="Arial"/>
                                <w:color w:val="000000" w:themeColor="text1"/>
                                <w:sz w:val="18"/>
                                <w:szCs w:val="20"/>
                              </w:rPr>
                            </w:pPr>
                            <w:r>
                              <w:rPr>
                                <w:rFonts w:ascii="Arial" w:hAnsi="Arial" w:cs="Arial"/>
                                <w:color w:val="000000" w:themeColor="text1"/>
                                <w:sz w:val="18"/>
                                <w:szCs w:val="20"/>
                              </w:rPr>
                              <w:t>Duplicate records removed (n = 312)</w:t>
                            </w:r>
                          </w:p>
                          <w:p w14:paraId="45F72DDA" w14:textId="54D02CC1" w:rsidR="007377DD" w:rsidRDefault="007377DD" w:rsidP="007377DD">
                            <w:pPr>
                              <w:spacing w:line="240" w:lineRule="auto"/>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w:t>
                            </w:r>
                          </w:p>
                          <w:p w14:paraId="36A6E2AE" w14:textId="6AB141C5" w:rsidR="007377DD" w:rsidRPr="00560609" w:rsidRDefault="007377DD" w:rsidP="007377DD">
                            <w:pPr>
                              <w:spacing w:line="240" w:lineRule="auto"/>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05DCB5" id="Rectangle 2" o:spid="_x0000_s1027" style="position:absolute;left:0;text-align:left;margin-left:239.35pt;margin-top:6.05pt;width:148.6pt;height:97.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" filled="f" strokecolor="black [3213]" strokeweight="1pt">
                <v:textbox>
                  <w:txbxContent>
                    <w:p w14:paraId="488B7763"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 xml:space="preserve">Records removed </w:t>
                      </w:r>
                      <w:r>
                        <w:rPr>
                          <w:rFonts w:ascii="Arial" w:hAnsi="Arial" w:cs="Arial"/>
                          <w:i/>
                          <w:iCs/>
                          <w:color w:val="000000" w:themeColor="text1"/>
                          <w:sz w:val="18"/>
                          <w:szCs w:val="20"/>
                        </w:rPr>
                        <w:t>before screening</w:t>
                      </w:r>
                      <w:r>
                        <w:rPr>
                          <w:rFonts w:ascii="Arial" w:hAnsi="Arial" w:cs="Arial"/>
                          <w:color w:val="000000" w:themeColor="text1"/>
                          <w:sz w:val="18"/>
                          <w:szCs w:val="20"/>
                        </w:rPr>
                        <w:t>:</w:t>
                      </w:r>
                    </w:p>
                    <w:p w14:paraId="296FED81" w14:textId="1F6D8729" w:rsidR="007377DD" w:rsidRDefault="007377DD" w:rsidP="007377DD">
                      <w:pPr>
                        <w:spacing w:line="240" w:lineRule="auto"/>
                        <w:ind w:left="284"/>
                        <w:rPr>
                          <w:rFonts w:ascii="Arial" w:hAnsi="Arial" w:cs="Arial"/>
                          <w:color w:val="000000" w:themeColor="text1"/>
                          <w:sz w:val="18"/>
                          <w:szCs w:val="20"/>
                        </w:rPr>
                      </w:pPr>
                      <w:r>
                        <w:rPr>
                          <w:rFonts w:ascii="Arial" w:hAnsi="Arial" w:cs="Arial"/>
                          <w:color w:val="000000" w:themeColor="text1"/>
                          <w:sz w:val="18"/>
                          <w:szCs w:val="20"/>
                        </w:rPr>
                        <w:t>Duplicate records removed (n = 312)</w:t>
                      </w:r>
                    </w:p>
                    <w:p w14:paraId="45F72DDA" w14:textId="54D02CC1" w:rsidR="007377DD" w:rsidRDefault="007377DD" w:rsidP="007377DD">
                      <w:pPr>
                        <w:spacing w:line="240" w:lineRule="auto"/>
                        <w:ind w:left="284"/>
                        <w:rPr>
                          <w:rFonts w:ascii="Arial" w:hAnsi="Arial" w:cs="Arial"/>
                          <w:color w:val="000000" w:themeColor="text1"/>
                          <w:sz w:val="18"/>
                          <w:szCs w:val="20"/>
                        </w:rPr>
                      </w:pPr>
                      <w:r>
                        <w:rPr>
                          <w:rFonts w:ascii="Arial" w:hAnsi="Arial" w:cs="Arial"/>
                          <w:color w:val="000000" w:themeColor="text1"/>
                          <w:sz w:val="18"/>
                          <w:szCs w:val="20"/>
                        </w:rPr>
                        <w:t>Records marked as ineligible by automation tools (n =)</w:t>
                      </w:r>
                    </w:p>
                    <w:p w14:paraId="36A6E2AE" w14:textId="6AB141C5" w:rsidR="007377DD" w:rsidRPr="00560609" w:rsidRDefault="007377DD" w:rsidP="007377DD">
                      <w:pPr>
                        <w:spacing w:line="240" w:lineRule="auto"/>
                        <w:ind w:left="284"/>
                        <w:rPr>
                          <w:rFonts w:ascii="Arial" w:hAnsi="Arial" w:cs="Arial"/>
                          <w:color w:val="000000" w:themeColor="text1"/>
                          <w:sz w:val="18"/>
                          <w:szCs w:val="20"/>
                        </w:rPr>
                      </w:pPr>
                      <w:r>
                        <w:rPr>
                          <w:rFonts w:ascii="Arial" w:hAnsi="Arial" w:cs="Arial"/>
                          <w:color w:val="000000" w:themeColor="text1"/>
                          <w:sz w:val="18"/>
                          <w:szCs w:val="20"/>
                        </w:rPr>
                        <w:t>Records removed for other reasons (n =)</w:t>
                      </w:r>
                    </w:p>
                  </w:txbxContent>
                </v:textbox>
              </v:rect>
            </w:pict>
          </mc:Fallback>
        </mc:AlternateContent>
      </w:r>
      <w:r w:rsidRPr="005D612E">
        <w:rPr>
          <w:rFonts w:ascii="Arial" w:hAnsi="Arial" w:cs="Arial"/>
          <w:noProof/>
          <w:color w:val="auto"/>
        </w:rPr>
        <mc:AlternateContent>
          <mc:Choice Requires="wps">
            <w:drawing>
              <wp:anchor distT="0" distB="0" distL="114300" distR="114300" simplePos="0" relativeHeight="251659264" behindDoc="0" locked="0" layoutInCell="1" allowOverlap="1" wp14:anchorId="6A36E0D6" wp14:editId="565C7251">
                <wp:simplePos x="0" y="0"/>
                <wp:positionH relativeFrom="column">
                  <wp:posOffset>559613</wp:posOffset>
                </wp:positionH>
                <wp:positionV relativeFrom="paragraph">
                  <wp:posOffset>77064</wp:posOffset>
                </wp:positionV>
                <wp:extent cx="1887220" cy="1243584"/>
                <wp:effectExtent l="0" t="0" r="17780" b="13970"/>
                <wp:wrapNone/>
                <wp:docPr id="1" name="Rectangle 1"/>
                <wp:cNvGraphicFramePr/>
                <a:graphic xmlns:a="http://schemas.openxmlformats.org/drawingml/2006/main">
                  <a:graphicData uri="http://schemas.microsoft.com/office/word/2010/wordprocessingShape">
                    <wps:wsp>
                      <wps:cNvSpPr/>
                      <wps:spPr>
                        <a:xfrm>
                          <a:off x="0" y="0"/>
                          <a:ext cx="1887220" cy="1243584"/>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8A2C28"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Records identified from*:</w:t>
                            </w:r>
                          </w:p>
                          <w:p w14:paraId="1A795C13" w14:textId="128E8DA0" w:rsidR="007377DD" w:rsidRPr="00560609" w:rsidRDefault="007377DD" w:rsidP="007377DD">
                            <w:pPr>
                              <w:spacing w:line="240" w:lineRule="auto"/>
                              <w:ind w:left="284"/>
                              <w:rPr>
                                <w:rFonts w:ascii="Arial" w:hAnsi="Arial" w:cs="Arial"/>
                                <w:color w:val="000000" w:themeColor="text1"/>
                                <w:sz w:val="18"/>
                                <w:szCs w:val="20"/>
                              </w:rPr>
                            </w:pPr>
                            <w:r>
                              <w:rPr>
                                <w:rFonts w:ascii="Arial" w:hAnsi="Arial" w:cs="Arial"/>
                                <w:color w:val="000000" w:themeColor="text1"/>
                                <w:sz w:val="18"/>
                                <w:szCs w:val="20"/>
                              </w:rPr>
                              <w:t>Databases (n = 1,847)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36E0D6" id="Rectangle 1" o:spid="_x0000_s1028" style="position:absolute;left:0;text-align:left;margin-left:44.05pt;margin-top:6.05pt;width:148.6pt;height:9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" filled="f" strokecolor="black [3213]" strokeweight="1pt">
                <v:textbox>
                  <w:txbxContent>
                    <w:p w14:paraId="7B8A2C28"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Records identified from*:</w:t>
                      </w:r>
                    </w:p>
                    <w:p w14:paraId="1A795C13" w14:textId="128E8DA0" w:rsidR="007377DD" w:rsidRPr="00560609" w:rsidRDefault="007377DD" w:rsidP="007377DD">
                      <w:pPr>
                        <w:spacing w:line="240" w:lineRule="auto"/>
                        <w:ind w:left="284"/>
                        <w:rPr>
                          <w:rFonts w:ascii="Arial" w:hAnsi="Arial" w:cs="Arial"/>
                          <w:color w:val="000000" w:themeColor="text1"/>
                          <w:sz w:val="18"/>
                          <w:szCs w:val="20"/>
                        </w:rPr>
                      </w:pPr>
                      <w:r>
                        <w:rPr>
                          <w:rFonts w:ascii="Arial" w:hAnsi="Arial" w:cs="Arial"/>
                          <w:color w:val="000000" w:themeColor="text1"/>
                          <w:sz w:val="18"/>
                          <w:szCs w:val="20"/>
                        </w:rPr>
                        <w:t>Databases (n = 1,847)</w:t>
                      </w:r>
                    </w:p>
                  </w:txbxContent>
                </v:textbox>
              </v:rect>
            </w:pict>
          </mc:Fallback>
        </mc:AlternateContent>
      </w:r>
    </w:p>
    <w:p w14:paraId="357C19EC" w14:textId="77777777" w:rsidR="007377DD" w:rsidRPr="005D612E" w:rsidRDefault="007377DD" w:rsidP="007377DD">
      <w:pPr>
        <w:spacing w:line="240" w:lineRule="auto"/>
        <w:rPr>
          <w:rFonts w:ascii="Arial" w:hAnsi="Arial" w:cs="Arial"/>
          <w:color w:val="auto"/>
        </w:rPr>
      </w:pPr>
    </w:p>
    <w:p w14:paraId="74FB4514"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73600" behindDoc="0" locked="0" layoutInCell="1" allowOverlap="1" wp14:anchorId="339A81F1" wp14:editId="4977BF56">
                <wp:simplePos x="0" y="0"/>
                <wp:positionH relativeFrom="column">
                  <wp:posOffset>-403543</wp:posOffset>
                </wp:positionH>
                <wp:positionV relativeFrom="paragraph">
                  <wp:posOffset>222567</wp:posOffset>
                </wp:positionV>
                <wp:extent cx="1276985" cy="262890"/>
                <wp:effectExtent l="0" t="7302" r="11112" b="11113"/>
                <wp:wrapNone/>
                <wp:docPr id="31" name="Flowchart: Alternate Process 31"/>
                <wp:cNvGraphicFramePr/>
                <a:graphic xmlns:a="http://schemas.openxmlformats.org/drawingml/2006/main">
                  <a:graphicData uri="http://schemas.microsoft.com/office/word/2010/wordprocessingShape">
                    <wps:wsp>
                      <wps:cNvSpPr/>
                      <wps:spPr>
                        <a:xfrm rot="16200000">
                          <a:off x="0" y="0"/>
                          <a:ext cx="127698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48C9445A" w14:textId="77777777" w:rsidR="007377DD" w:rsidRPr="001502CF" w:rsidRDefault="007377DD" w:rsidP="007377DD">
                            <w:pPr>
                              <w:spacing w:line="240" w:lineRule="auto"/>
                              <w:jc w:val="center"/>
                              <w:rPr>
                                <w:rFonts w:ascii="Arial" w:hAnsi="Arial" w:cs="Arial"/>
                                <w:b/>
                                <w:color w:val="000000" w:themeColor="text1"/>
                                <w:sz w:val="18"/>
                                <w:szCs w:val="18"/>
                              </w:rPr>
                            </w:pPr>
                            <w:r>
                              <w:rPr>
                                <w:rFonts w:ascii="Arial" w:hAnsi="Arial" w:cs="Arial"/>
                                <w:b/>
                                <w:color w:val="000000" w:themeColor="text1"/>
                                <w:sz w:val="18"/>
                                <w:szCs w:val="18"/>
                              </w:rPr>
                              <w:t>Identification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9A81F1" id="Flowchart: Alternate Process 31" o:spid="_x0000_s1029" type="#_x0000_t176" style="position:absolute;left:0;text-align:left;margin-left:-31.8pt;margin-top:17.5pt;width:100.55pt;height:20.7pt;rotation:-90;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" fillcolor="#9cc2e5 [1944]" strokecolor="black [3213]" strokeweight="1pt">
                <v:textbox>
                  <w:txbxContent>
                    <w:p w14:paraId="48C9445A" w14:textId="77777777" w:rsidR="007377DD" w:rsidRPr="001502CF" w:rsidRDefault="007377DD" w:rsidP="007377DD">
                      <w:pPr>
                        <w:spacing w:line="240" w:lineRule="auto"/>
                        <w:jc w:val="center"/>
                        <w:rPr>
                          <w:rFonts w:ascii="Arial" w:hAnsi="Arial" w:cs="Arial"/>
                          <w:b/>
                          <w:color w:val="000000" w:themeColor="text1"/>
                          <w:sz w:val="18"/>
                          <w:szCs w:val="18"/>
                        </w:rPr>
                      </w:pPr>
                      <w:r>
                        <w:rPr>
                          <w:rFonts w:ascii="Arial" w:hAnsi="Arial" w:cs="Arial"/>
                          <w:b/>
                          <w:color w:val="000000" w:themeColor="text1"/>
                          <w:sz w:val="18"/>
                          <w:szCs w:val="18"/>
                        </w:rPr>
                        <w:t>Identification</w:t>
                      </w:r>
                    </w:p>
                  </w:txbxContent>
                </v:textbox>
              </v:shape>
            </w:pict>
          </mc:Fallback>
        </mc:AlternateContent>
      </w:r>
    </w:p>
    <w:p w14:paraId="66960201" w14:textId="77777777" w:rsidR="007377DD" w:rsidRPr="005D612E" w:rsidRDefault="007377DD" w:rsidP="007377DD">
      <w:pPr>
        <w:spacing w:line="240" w:lineRule="auto"/>
        <w:rPr>
          <w:rFonts w:ascii="Arial" w:hAnsi="Arial" w:cs="Arial"/>
          <w:color w:val="auto"/>
        </w:rPr>
      </w:pPr>
    </w:p>
    <w:p w14:paraId="23D7D661"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68480" behindDoc="0" locked="0" layoutInCell="1" allowOverlap="1" wp14:anchorId="11F41658" wp14:editId="5C09E81D">
                <wp:simplePos x="0" y="0"/>
                <wp:positionH relativeFrom="column">
                  <wp:posOffset>2454250</wp:posOffset>
                </wp:positionH>
                <wp:positionV relativeFrom="paragraph">
                  <wp:posOffset>9550</wp:posOffset>
                </wp:positionV>
                <wp:extent cx="563270" cy="0"/>
                <wp:effectExtent l="0" t="76200" r="27305" b="95250"/>
                <wp:wrapNone/>
                <wp:docPr id="14" name="Straight Arrow Connector 14"/>
                <wp:cNvGraphicFramePr/>
                <a:graphic xmlns:a="http://schemas.openxmlformats.org/drawingml/2006/main">
                  <a:graphicData uri="http://schemas.microsoft.com/office/word/2010/wordprocessingShape">
                    <wps:wsp>
                      <wps:cNvCnPr/>
                      <wps:spPr>
                        <a:xfrm>
                          <a:off x="0" y="0"/>
                          <a:ext cx="563270"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3CBAA73" id="_x0000_t32" coordsize="21600,21600" o:spt="32" o:oned="t" path="m,l21600,21600e" filled="f">
                <v:path arrowok="t" fillok="f" o:connecttype="none"/>
                <o:lock v:ext="edit" shapetype="t"/>
              </v:shapetype>
              <v:shape id="Straight Arrow Connector 14" o:spid="_x0000_s1026" type="#_x0000_t32" style="position:absolute;margin-left:193.25pt;margin-top:.75pt;width:44.35pt;height:0;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kejQVygEAAP0DAAAOAAAAZHJzL2Uyb0RvYy54bWysU9uO0zAQfUfiHyy/07RFLChqug9dlhcE K1g+wOuME0u+yR6a5O8ZO23CTUggXiaxPWfOnOPx4Xa0hp0hJu1dw3ebLWfgpG+16xr+5fH+xRvO EgrXCuMdNHyCxG+Pz58dhlDD3vfetBAZFXGpHkLDe8RQV1WSPViRNj6Ao0PloxVIy9hVbRQDVbem 2m+3N9XgYxuil5AS7d7Nh/xY6isFEj8qlQCZaTj1hiXGEp9yrI4HUXdRhF7LSxviH7qwQjsiXUrd CRTsa9S/lLJaRp+8wo30tvJKaQlFA6nZbX9S87kXAYoWMieFxab0/8rKD+eTe4hkwxBSncJDzCpG FW3+Un9sLGZNi1kwIpO0+erm5f41WSqvR9WKCzHhO/CW5Z+GJ4xCdz2evHN0Iz7uilfi/D4hMRPw CsikxuWYvNHtvTamLPI4wMlEdhZ0kTju8sUR7ocsFNq8dS3DKdCkYdTCdQYumblqtWosfzgZmBk/ gWK6JVVzZ2X8Vj4hJTi8chpH2RmmqLsFuC2S/gi85GcolNH8G/CCKMze4QK22vn4O/bVJjXnXx2Y dWcLnnw7ldsv1tCMFVcv7yEP8ffrAl9f7fEbAAAA//8DAFBLAwQUAAYACAAAACEAgSz5QtwAAAAH AQAADwAAAGRycy9kb3ducmV2LnhtbEyO0UrDQBBF3wX/YRnBN7tptbXGbEoRCkUp1OoHbLJjEtyd jbvbNvl7R1/0abicy51TrAZnxQlD7DwpmE4yEEi1Nx01Ct7fNjdLEDFpMtp6QgUjRliVlxeFzo0/ 0yueDqkRPEIx1wralPpcyli36HSc+B6J2YcPTieOoZEm6DOPOytnWbaQTnfEH1rd41OL9efh6BQ8 bPumsvuX5+lXFjbbbj/uhvWo1PXVsH4EkXBIf2X40Wd1KNmp8kcyUVgFt8vFnKsM+DC/u5/PQFS/ WZaF/O9ffgMAAP//AwBQSwECLQAUAAYACAAAACEAtoM4kv4AAADhAQAAEwAAAAAAAAAAAAAAAAAA AAAAW0NvbnRlbnRfVHlwZXNdLnhtbFBLAQItABQABgAIAAAAIQA4/SH/1gAAAJQBAAALAAAAAAAA AAAAAAAAAC8BAABfcmVscy8ucmVsc1BLAQItABQABgAIAAAAIQCkejQVygEAAP0DAAAOAAAAAAAA AAAAAAAAAC4CAABkcnMvZTJvRG9jLnhtbFBLAQItABQABgAIAAAAIQCBLPlC3AAAAAcBAAAPAAAA AAAAAAAAAAAAACQEAABkcnMvZG93bnJldi54bWxQSwUGAAAAAAQABADzAAAALQUAAAAA " strokecolor="black [3213]" strokeweight=".5pt">
                <v:stroke endarrow="block" joinstyle="miter"/>
              </v:shape>
            </w:pict>
          </mc:Fallback>
        </mc:AlternateContent>
      </w:r>
    </w:p>
    <w:p w14:paraId="2A47FDF0" w14:textId="77777777" w:rsidR="007377DD" w:rsidRPr="005D612E" w:rsidRDefault="007377DD" w:rsidP="007377DD">
      <w:pPr>
        <w:spacing w:line="240" w:lineRule="auto"/>
        <w:rPr>
          <w:rFonts w:ascii="Arial" w:hAnsi="Arial" w:cs="Arial"/>
          <w:color w:val="auto"/>
        </w:rPr>
      </w:pPr>
    </w:p>
    <w:p w14:paraId="26E5AA98" w14:textId="77777777" w:rsidR="007377DD" w:rsidRPr="005D612E" w:rsidRDefault="007377DD" w:rsidP="007377DD">
      <w:pPr>
        <w:spacing w:line="240" w:lineRule="auto"/>
        <w:rPr>
          <w:rFonts w:ascii="Arial" w:hAnsi="Arial" w:cs="Arial"/>
          <w:color w:val="auto"/>
        </w:rPr>
      </w:pPr>
    </w:p>
    <w:p w14:paraId="53CE4ADB"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76672" behindDoc="0" locked="0" layoutInCell="1" allowOverlap="1" wp14:anchorId="031A7894" wp14:editId="299089A7">
                <wp:simplePos x="0" y="0"/>
                <wp:positionH relativeFrom="column">
                  <wp:posOffset>1400175</wp:posOffset>
                </wp:positionH>
                <wp:positionV relativeFrom="paragraph">
                  <wp:posOffset>128905</wp:posOffset>
                </wp:positionV>
                <wp:extent cx="0" cy="281305"/>
                <wp:effectExtent l="76200" t="0" r="57150" b="61595"/>
                <wp:wrapNone/>
                <wp:docPr id="27" name="Straight Arrow Connector 27"/>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9CB808F" id="Straight Arrow Connector 27" o:spid="_x0000_s1026" type="#_x0000_t32" style="position:absolute;margin-left:110.25pt;margin-top:10.15pt;width:0;height:22.15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XSfkyAEAAP0DAAAOAAAAZHJzL2Uyb0RvYy54bWysU8uO3CAQvEfKPyDuGdsTJVqNxrOH2d1c omSVxwewuLGRMI2gM7b/PoA9dl6KlGgvbQNdXV1Fc7wde8Mu4INGW/NqV3IGVmKjbVvzr18eXt1w FkjYRhi0UPMJAr89vXxxHNwB9tihacCzWMSGw+Bq3hG5Q1EE2UEvwg4d2Hio0PeC4tK3RePFEKv3 ptiX5dtiQN84jxJCiLt38yE/5fpKgaSPSgUgZmoee6McfY5PKRanozi0XrhOy6UN8R9d9ELbSLqW uhMk2DevfyvVa+kxoKKdxL5ApbSErCGqqcpf1HzuhIOsJZoT3GpTeL6y8sPlbB99tGFw4RDco08q RuX79I39sTGbNa1mwUhMzpsy7u5vqtflm+RjseGcD/QOsGfpp+aBvNBtR2e0Nt4I+ip7JS7vA83A KyCRGptiQKObB21MXqRxgLPx7CLiRdJYLYQ/ZZHQ5t42jCYXJ428FrY1sGSmqsWmMf/RZGBm/ASK 6SaqmjvL47fxCSnB0pXT2JidYCp2twLLLOmvwCU/QSGP5r+AV0RmRksruNcW/Z/YN5vUnH91YNad LHjCZsq3n62JM5avcXkPaYh/XGf49mpP3wEAAP//AwBQSwMEFAAGAAgAAAAhAI3NAAvdAAAACQEA AA8AAABkcnMvZG93bnJldi54bWxMj91KxDAQRu8F3yGM4J2bbNWitemyCAuLIqyrD5A2Y1tMJrXJ 7rZv74gXejc/h2/OlKvJO3HEMfaBNCwXCgRSE2xPrYb3t83VHYiYDFnjAqGGGSOsqvOz0hQ2nOgV j/vUCg6hWBgNXUpDIWVsOvQmLsKAxLuPMHqTuB1baUdz4nDvZKZULr3piS90ZsDHDpvP/cFruN8O be12z0/LLzVutv1ufpnWs9aXF9P6AUTCKf3B8KPP6lCxUx0OZKNwGrJM3TLKhboGwcDvoNaQ3+Qg q1L+/6D6BgAA//8DAFBLAQItABQABgAIAAAAIQC2gziS/gAAAOEBAAATAAAAAAAAAAAAAAAAAAAA AABbQ29udGVudF9UeXBlc10ueG1sUEsBAi0AFAAGAAgAAAAhADj9If/WAAAAlAEAAAsAAAAAAAAA AAAAAAAALwEAAF9yZWxzLy5yZWxzUEsBAi0AFAAGAAgAAAAhAFBdJ+TIAQAA/QMAAA4AAAAAAAAA AAAAAAAALgIAAGRycy9lMm9Eb2MueG1sUEsBAi0AFAAGAAgAAAAhAI3NAAvdAAAACQEAAA8AAAAA AAAAAAAAAAAAIgQAAGRycy9kb3ducmV2LnhtbFBLBQYAAAAABAAEAPMAAAAsBQAAAAA= " strokecolor="black [3213]" strokeweight=".5pt">
                <v:stroke endarrow="block" joinstyle="miter"/>
              </v:shape>
            </w:pict>
          </mc:Fallback>
        </mc:AlternateContent>
      </w:r>
    </w:p>
    <w:p w14:paraId="2C1A91E5" w14:textId="77777777" w:rsidR="007377DD" w:rsidRPr="005D612E" w:rsidRDefault="007377DD" w:rsidP="007377DD">
      <w:pPr>
        <w:spacing w:line="240" w:lineRule="auto"/>
        <w:rPr>
          <w:rFonts w:ascii="Arial" w:hAnsi="Arial" w:cs="Arial"/>
          <w:color w:val="auto"/>
        </w:rPr>
      </w:pPr>
    </w:p>
    <w:p w14:paraId="125BCBF8"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69504" behindDoc="0" locked="0" layoutInCell="1" allowOverlap="1" wp14:anchorId="28FD94E1" wp14:editId="2345319D">
                <wp:simplePos x="0" y="0"/>
                <wp:positionH relativeFrom="column">
                  <wp:posOffset>2453640</wp:posOffset>
                </wp:positionH>
                <wp:positionV relativeFrom="paragraph">
                  <wp:posOffset>328295</wp:posOffset>
                </wp:positionV>
                <wp:extent cx="563245" cy="0"/>
                <wp:effectExtent l="0" t="76200" r="27305" b="95250"/>
                <wp:wrapNone/>
                <wp:docPr id="15" name="Straight Arrow Connector 15"/>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F06B54B" id="Straight Arrow Connector 15" o:spid="_x0000_s1026" type="#_x0000_t32" style="position:absolute;margin-left:193.2pt;margin-top:25.85pt;width:44.35pt;height:0;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RW7NygEAAP0DAAAOAAAAZHJzL2Uyb0RvYy54bWysU9uO0zAQfUfiHyy/07SFXaGo6T50WV4Q rLh8gNcZJ5Z8kz00yd8zdtqEm5BAvExie86cOcfjw91oDTtDTNq7hu82W87ASd9q1zX8y+eHF685 SyhcK4x30PAJEr87Pn92GEINe99700JkVMSleggN7xFDXVVJ9mBF2vgAjg6Vj1YgLWNXtVEMVN2a ar/d3laDj22IXkJKtHs/H/Jjqa8USPygVAJkpuHUG5YYS3zKsToeRN1FEXotL22If+jCCu2IdCl1 L1Cwr1H/UspqGX3yCjfS28orpSUUDaRmt/1JzadeBChayJwUFpvS/ysr359P7jGSDUNIdQqPMasY VbT5S/2xsZg1LWbBiEzS5s3ty/2rG87k9ahacSEmfAvesvzT8IRR6K7Hk3eObsTHXfFKnN8lJGYC XgGZ1Lgckze6fdDGlEUeBziZyM6CLhLHXb44wv2QhUKbN65lOAWaNIxauM7AJTNXrVaN5Q8nAzPj R1BMt6Rq7qyM38onpASHV07jKDvDFHW3ALdF0h+Bl/wMhTKafwNeEIXZO1zAVjsff8e+2qTm/KsD s+5swZNvp3L7xRqaseLq5T3kIf5+XeDrqz1+AwAA//8DAFBLAwQUAAYACAAAACEAdRd8ct8AAAAJ AQAADwAAAGRycy9kb3ducmV2LnhtbEyPy07DMBBF90j9B2sqsaNOoC9CnKpCqlSBkPr6ACcekgh7 HGy3Tf4eIxZ0OTNHd87NV73R7ILOt5YEpJMEGFJlVUu1gNNx87AE5oMkJbUlFDCgh1UxustlpuyV 9ng5hJrFEPKZFNCE0GWc+6pBI/3Edkjx9mmdkSGOrubKyWsMN5o/JsmcG9lS/NDIDl8brL4OZyPg edvVpd69v6Xfidts293w0a8HIe7H/foFWMA+/MPwqx/VoYhOpT2T8kwLeFrOpxEVMEsXwCIwXcxS YOXfghc5v21Q/AAAAP//AwBQSwECLQAUAAYACAAAACEAtoM4kv4AAADhAQAAEwAAAAAAAAAAAAAA AAAAAAAAW0NvbnRlbnRfVHlwZXNdLnhtbFBLAQItABQABgAIAAAAIQA4/SH/1gAAAJQBAAALAAAA AAAAAAAAAAAAAC8BAABfcmVscy8ucmVsc1BLAQItABQABgAIAAAAIQADRW7NygEAAP0DAAAOAAAA AAAAAAAAAAAAAC4CAABkcnMvZTJvRG9jLnhtbFBLAQItABQABgAIAAAAIQB1F3xy3wAAAAkBAAAP AAAAAAAAAAAAAAAAACQEAABkcnMvZG93bnJldi54bWxQSwUGAAAAAAQABADzAAAAMAUAAAAA " strokecolor="black [3213]" strokeweight=".5pt">
                <v:stroke endarrow="block" joinstyle="miter"/>
              </v:shape>
            </w:pict>
          </mc:Fallback>
        </mc:AlternateContent>
      </w:r>
      <w:r w:rsidRPr="005D612E">
        <w:rPr>
          <w:rFonts w:ascii="Arial" w:hAnsi="Arial" w:cs="Arial"/>
          <w:noProof/>
          <w:color w:val="auto"/>
        </w:rPr>
        <mc:AlternateContent>
          <mc:Choice Requires="wps">
            <w:drawing>
              <wp:anchor distT="0" distB="0" distL="114300" distR="114300" simplePos="0" relativeHeight="251661312" behindDoc="0" locked="0" layoutInCell="1" allowOverlap="1" wp14:anchorId="308D1E84" wp14:editId="30D8768F">
                <wp:simplePos x="0" y="0"/>
                <wp:positionH relativeFrom="column">
                  <wp:posOffset>559435</wp:posOffset>
                </wp:positionH>
                <wp:positionV relativeFrom="paragraph">
                  <wp:posOffset>74930</wp:posOffset>
                </wp:positionV>
                <wp:extent cx="1887220" cy="526415"/>
                <wp:effectExtent l="0" t="0" r="17780" b="26035"/>
                <wp:wrapNone/>
                <wp:docPr id="3" name="Rectangle 3"/>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782A67D"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Records screened</w:t>
                            </w:r>
                          </w:p>
                          <w:p w14:paraId="4A39F9BA" w14:textId="2EAFB880"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 1,535)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8D1E84" id="Rectangle 3" o:spid="_x0000_s1030" style="position:absolute;left:0;text-align:left;margin-left:44.05pt;margin-top:5.9pt;width:148.6pt;height:41.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Ps3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" filled="f" strokecolor="black [3213]" strokeweight="1pt">
                <v:textbox>
                  <w:txbxContent>
                    <w:p w14:paraId="5782A67D"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Records screened</w:t>
                      </w:r>
                    </w:p>
                    <w:p w14:paraId="4A39F9BA" w14:textId="2EAFB880"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 1,535)</w:t>
                      </w:r>
                    </w:p>
                  </w:txbxContent>
                </v:textbox>
              </v:rect>
            </w:pict>
          </mc:Fallback>
        </mc:AlternateContent>
      </w:r>
      <w:r w:rsidRPr="005D612E">
        <w:rPr>
          <w:rFonts w:ascii="Arial" w:hAnsi="Arial" w:cs="Arial"/>
          <w:noProof/>
          <w:color w:val="auto"/>
        </w:rPr>
        <mc:AlternateContent>
          <mc:Choice Requires="wps">
            <w:drawing>
              <wp:anchor distT="0" distB="0" distL="114300" distR="114300" simplePos="0" relativeHeight="251662336" behindDoc="0" locked="0" layoutInCell="1" allowOverlap="1" wp14:anchorId="7B492629" wp14:editId="4049E769">
                <wp:simplePos x="0" y="0"/>
                <wp:positionH relativeFrom="column">
                  <wp:posOffset>3048000</wp:posOffset>
                </wp:positionH>
                <wp:positionV relativeFrom="paragraph">
                  <wp:posOffset>74930</wp:posOffset>
                </wp:positionV>
                <wp:extent cx="1887220" cy="526415"/>
                <wp:effectExtent l="0" t="0" r="17780" b="26035"/>
                <wp:wrapNone/>
                <wp:docPr id="4" name="Rectangle 4"/>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525152"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Records excluded**</w:t>
                            </w:r>
                          </w:p>
                          <w:p w14:paraId="2E06A8AE" w14:textId="368A8D58"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 1,223)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492629" id="Rectangle 4" o:spid="_x0000_s1031" style="position:absolute;left:0;text-align:left;margin-left:240pt;margin-top:5.9pt;width:148.6pt;height:41.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" filled="f" strokecolor="black [3213]" strokeweight="1pt">
                <v:textbox>
                  <w:txbxContent>
                    <w:p w14:paraId="61525152"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Records excluded**</w:t>
                      </w:r>
                    </w:p>
                    <w:p w14:paraId="2E06A8AE" w14:textId="368A8D58"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 1,223)</w:t>
                      </w:r>
                    </w:p>
                  </w:txbxContent>
                </v:textbox>
              </v:rect>
            </w:pict>
          </mc:Fallback>
        </mc:AlternateContent>
      </w:r>
    </w:p>
    <w:p w14:paraId="66ACB166" w14:textId="77777777" w:rsidR="007377DD" w:rsidRPr="005D612E" w:rsidRDefault="007377DD" w:rsidP="007377DD">
      <w:pPr>
        <w:spacing w:line="240" w:lineRule="auto"/>
        <w:rPr>
          <w:rFonts w:ascii="Arial" w:hAnsi="Arial" w:cs="Arial"/>
          <w:color w:val="auto"/>
        </w:rPr>
      </w:pPr>
    </w:p>
    <w:p w14:paraId="0A1E7AC3" w14:textId="77777777" w:rsidR="007377DD" w:rsidRPr="005D612E" w:rsidRDefault="007377DD" w:rsidP="007377DD">
      <w:pPr>
        <w:spacing w:line="240" w:lineRule="auto"/>
        <w:rPr>
          <w:rFonts w:ascii="Arial" w:hAnsi="Arial" w:cs="Arial"/>
          <w:color w:val="auto"/>
        </w:rPr>
      </w:pPr>
    </w:p>
    <w:p w14:paraId="4E58431C"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77696" behindDoc="0" locked="0" layoutInCell="1" allowOverlap="1" wp14:anchorId="6E3F6C00" wp14:editId="121F396F">
                <wp:simplePos x="0" y="0"/>
                <wp:positionH relativeFrom="column">
                  <wp:posOffset>1400175</wp:posOffset>
                </wp:positionH>
                <wp:positionV relativeFrom="paragraph">
                  <wp:posOffset>99695</wp:posOffset>
                </wp:positionV>
                <wp:extent cx="0" cy="281305"/>
                <wp:effectExtent l="76200" t="0" r="57150" b="61595"/>
                <wp:wrapNone/>
                <wp:docPr id="35" name="Straight Arrow Connector 35"/>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2CACAE0" id="Straight Arrow Connector 35" o:spid="_x0000_s1026" type="#_x0000_t32" style="position:absolute;margin-left:110.25pt;margin-top:7.85pt;width:0;height:22.15pt;z-index:2516776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XSfkyAEAAP0DAAAOAAAAZHJzL2Uyb0RvYy54bWysU8uO3CAQvEfKPyDuGdsTJVqNxrOH2d1c omSVxwewuLGRMI2gM7b/PoA9dl6KlGgvbQNdXV1Fc7wde8Mu4INGW/NqV3IGVmKjbVvzr18eXt1w FkjYRhi0UPMJAr89vXxxHNwB9tihacCzWMSGw+Bq3hG5Q1EE2UEvwg4d2Hio0PeC4tK3RePFEKv3 ptiX5dtiQN84jxJCiLt38yE/5fpKgaSPSgUgZmoee6McfY5PKRanozi0XrhOy6UN8R9d9ELbSLqW uhMk2DevfyvVa+kxoKKdxL5ApbSErCGqqcpf1HzuhIOsJZoT3GpTeL6y8sPlbB99tGFw4RDco08q RuX79I39sTGbNa1mwUhMzpsy7u5vqtflm+RjseGcD/QOsGfpp+aBvNBtR2e0Nt4I+ip7JS7vA83A KyCRGptiQKObB21MXqRxgLPx7CLiRdJYLYQ/ZZHQ5t42jCYXJ428FrY1sGSmqsWmMf/RZGBm/ASK 6SaqmjvL47fxCSnB0pXT2JidYCp2twLLLOmvwCU/QSGP5r+AV0RmRksruNcW/Z/YN5vUnH91YNad LHjCZsq3n62JM5avcXkPaYh/XGf49mpP3wEAAP//AwBQSwMEFAAGAAgAAAAhAJc0KkPdAAAACQEA AA8AAABkcnMvZG93bnJldi54bWxMj9FKw0AQRd8F/2EZwTe720CrTbMpRSgURajVD9hkxyS4Oxuz 2zb5e0d80MeZe7hzptiM3okzDrELpGE+UyCQ6mA7ajS8v+3uHkDEZMgaFwg1TBhhU15fFSa34UKv eD6mRnAJxdxoaFPqcylj3aI3cRZ6JM4+wuBN4nFopB3Mhcu9k5lSS+lNR3yhNT0+tlh/Hk9ew2rf N5U7PD/Nv9Sw23eH6WXcTlrf3ozbNYiEY/qD4Uef1aFkpyqcyEbhNGSZWjDKweIeBAO/i0rDUimQ ZSH/f1B+AwAA//8DAFBLAQItABQABgAIAAAAIQC2gziS/gAAAOEBAAATAAAAAAAAAAAAAAAAAAAA AABbQ29udGVudF9UeXBlc10ueG1sUEsBAi0AFAAGAAgAAAAhADj9If/WAAAAlAEAAAsAAAAAAAAA AAAAAAAALwEAAF9yZWxzLy5yZWxzUEsBAi0AFAAGAAgAAAAhAFBdJ+TIAQAA/QMAAA4AAAAAAAAA AAAAAAAALgIAAGRycy9lMm9Eb2MueG1sUEsBAi0AFAAGAAgAAAAhAJc0KkPdAAAACQEAAA8AAAAA AAAAAAAAAAAAIgQAAGRycy9kb3ducmV2LnhtbFBLBQYAAAAABAAEAPMAAAAsBQAAAAA= " strokecolor="black [3213]" strokeweight=".5pt">
                <v:stroke endarrow="block" joinstyle="miter"/>
              </v:shape>
            </w:pict>
          </mc:Fallback>
        </mc:AlternateContent>
      </w:r>
    </w:p>
    <w:p w14:paraId="2B1372D3" w14:textId="77777777" w:rsidR="007377DD" w:rsidRPr="005D612E" w:rsidRDefault="007377DD" w:rsidP="007377DD">
      <w:pPr>
        <w:spacing w:line="240" w:lineRule="auto"/>
        <w:rPr>
          <w:rFonts w:ascii="Arial" w:hAnsi="Arial" w:cs="Arial"/>
          <w:color w:val="auto"/>
        </w:rPr>
      </w:pPr>
    </w:p>
    <w:p w14:paraId="2428C07A"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63360" behindDoc="0" locked="0" layoutInCell="1" allowOverlap="1" wp14:anchorId="52EB0D7F" wp14:editId="1E71A77E">
                <wp:simplePos x="0" y="0"/>
                <wp:positionH relativeFrom="column">
                  <wp:posOffset>560705</wp:posOffset>
                </wp:positionH>
                <wp:positionV relativeFrom="paragraph">
                  <wp:posOffset>47625</wp:posOffset>
                </wp:positionV>
                <wp:extent cx="1887220" cy="526415"/>
                <wp:effectExtent l="0" t="0" r="17780" b="26035"/>
                <wp:wrapNone/>
                <wp:docPr id="5" name="Rectangle 5"/>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52CBF30"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Reports sought for retrieval</w:t>
                            </w:r>
                          </w:p>
                          <w:p w14:paraId="40AF67D5" w14:textId="33999CCA"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=312)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EB0D7F" id="Rectangle 5" o:spid="_x0000_s1032" style="position:absolute;left:0;text-align:left;margin-left:44.15pt;margin-top:3.75pt;width:148.6pt;height:41.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" filled="f" strokecolor="black [3213]" strokeweight="1pt">
                <v:textbox>
                  <w:txbxContent>
                    <w:p w14:paraId="252CBF30"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Reports sought for retrieval</w:t>
                      </w:r>
                    </w:p>
                    <w:p w14:paraId="40AF67D5" w14:textId="33999CCA"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=312)</w:t>
                      </w:r>
                    </w:p>
                  </w:txbxContent>
                </v:textbox>
              </v:rect>
            </w:pict>
          </mc:Fallback>
        </mc:AlternateContent>
      </w:r>
      <w:r w:rsidRPr="005D612E">
        <w:rPr>
          <w:rFonts w:ascii="Arial" w:hAnsi="Arial" w:cs="Arial"/>
          <w:noProof/>
          <w:color w:val="auto"/>
        </w:rPr>
        <mc:AlternateContent>
          <mc:Choice Requires="wps">
            <w:drawing>
              <wp:anchor distT="0" distB="0" distL="114300" distR="114300" simplePos="0" relativeHeight="251670528" behindDoc="0" locked="0" layoutInCell="1" allowOverlap="1" wp14:anchorId="093344E6" wp14:editId="0EE6E0E8">
                <wp:simplePos x="0" y="0"/>
                <wp:positionH relativeFrom="column">
                  <wp:posOffset>2463165</wp:posOffset>
                </wp:positionH>
                <wp:positionV relativeFrom="paragraph">
                  <wp:posOffset>320675</wp:posOffset>
                </wp:positionV>
                <wp:extent cx="563245" cy="0"/>
                <wp:effectExtent l="0" t="76200" r="27305" b="95250"/>
                <wp:wrapNone/>
                <wp:docPr id="16" name="Straight Arrow Connector 16"/>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9FF6AC2" id="Straight Arrow Connector 16" o:spid="_x0000_s1026" type="#_x0000_t32" style="position:absolute;margin-left:193.95pt;margin-top:25.25pt;width:44.35pt;height:0;z-index:2516705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RW7NygEAAP0DAAAOAAAAZHJzL2Uyb0RvYy54bWysU9uO0zAQfUfiHyy/07SFXaGo6T50WV4Q rLh8gNcZJ5Z8kz00yd8zdtqEm5BAvExie86cOcfjw91oDTtDTNq7hu82W87ASd9q1zX8y+eHF685 SyhcK4x30PAJEr87Pn92GEINe99700JkVMSleggN7xFDXVVJ9mBF2vgAjg6Vj1YgLWNXtVEMVN2a ar/d3laDj22IXkJKtHs/H/Jjqa8USPygVAJkpuHUG5YYS3zKsToeRN1FEXotL22If+jCCu2IdCl1 L1Cwr1H/UspqGX3yCjfS28orpSUUDaRmt/1JzadeBChayJwUFpvS/ysr359P7jGSDUNIdQqPMasY VbT5S/2xsZg1LWbBiEzS5s3ty/2rG87k9ahacSEmfAvesvzT8IRR6K7Hk3eObsTHXfFKnN8lJGYC XgGZ1Lgckze6fdDGlEUeBziZyM6CLhLHXb44wv2QhUKbN65lOAWaNIxauM7AJTNXrVaN5Q8nAzPj R1BMt6Rq7qyM38onpASHV07jKDvDFHW3ALdF0h+Bl/wMhTKafwNeEIXZO1zAVjsff8e+2qTm/KsD s+5swZNvp3L7xRqaseLq5T3kIf5+XeDrqz1+AwAA//8DAFBLAwQUAAYACAAAACEA4Ofqad8AAAAJ AQAADwAAAGRycy9kb3ducmV2LnhtbEyPQU7DMBBF90jcwRokdtQu0LQNcaoKqVIFQiptD+DEQxJh j4PttsntMWIBy5l5+vN+sRqsYWf0oXMkYToRwJBqpztqJBwPm7sFsBAVaWUcoYQRA6zK66tC5dpd 6B3P+9iwFEIhVxLaGPuc81C3aFWYuB4p3T6ctyqm0Tdce3VJ4dbweyEyblVH6UOrenxusf7cn6yE 5bZvKrN7fZl+Cb/ZdrvxbViPUt7eDOsnYBGH+AfDj35ShzI5Ve5EOjAj4WExXyZUwkzMgCXgcZ5l wKrfBS8L/r9B+Q0AAP//AwBQSwECLQAUAAYACAAAACEAtoM4kv4AAADhAQAAEwAAAAAAAAAAAAAA AAAAAAAAW0NvbnRlbnRfVHlwZXNdLnhtbFBLAQItABQABgAIAAAAIQA4/SH/1gAAAJQBAAALAAAA AAAAAAAAAAAAAC8BAABfcmVscy8ucmVsc1BLAQItABQABgAIAAAAIQADRW7NygEAAP0DAAAOAAAA AAAAAAAAAAAAAC4CAABkcnMvZTJvRG9jLnhtbFBLAQItABQABgAIAAAAIQDg5+pp3wAAAAkBAAAP AAAAAAAAAAAAAAAAACQEAABkcnMvZG93bnJldi54bWxQSwUGAAAAAAQABADzAAAAMAUAAAAA " strokecolor="black [3213]" strokeweight=".5pt">
                <v:stroke endarrow="block" joinstyle="miter"/>
              </v:shape>
            </w:pict>
          </mc:Fallback>
        </mc:AlternateContent>
      </w:r>
      <w:r w:rsidRPr="005D612E">
        <w:rPr>
          <w:rFonts w:ascii="Arial" w:hAnsi="Arial" w:cs="Arial"/>
          <w:noProof/>
          <w:color w:val="auto"/>
        </w:rPr>
        <mc:AlternateContent>
          <mc:Choice Requires="wps">
            <w:drawing>
              <wp:anchor distT="0" distB="0" distL="114300" distR="114300" simplePos="0" relativeHeight="251664384" behindDoc="0" locked="0" layoutInCell="1" allowOverlap="1" wp14:anchorId="4A4EE458" wp14:editId="4F9AE96C">
                <wp:simplePos x="0" y="0"/>
                <wp:positionH relativeFrom="column">
                  <wp:posOffset>3049270</wp:posOffset>
                </wp:positionH>
                <wp:positionV relativeFrom="paragraph">
                  <wp:posOffset>66675</wp:posOffset>
                </wp:positionV>
                <wp:extent cx="1887220" cy="526415"/>
                <wp:effectExtent l="0" t="0" r="17780" b="26035"/>
                <wp:wrapNone/>
                <wp:docPr id="6" name="Rectangle 6"/>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24DFB06"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Reports not retrieved</w:t>
                            </w:r>
                          </w:p>
                          <w:p w14:paraId="44A3E98D" w14:textId="2C53CCDE"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 270)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A4EE458" id="Rectangle 6" o:spid="_x0000_s1033" style="position:absolute;left:0;text-align:left;margin-left:240.1pt;margin-top:5.25pt;width:148.6pt;height:41.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" filled="f" strokecolor="black [3213]" strokeweight="1pt">
                <v:textbox>
                  <w:txbxContent>
                    <w:p w14:paraId="424DFB06"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Reports not retrieved</w:t>
                      </w:r>
                    </w:p>
                    <w:p w14:paraId="44A3E98D" w14:textId="2C53CCDE"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 270)</w:t>
                      </w:r>
                    </w:p>
                  </w:txbxContent>
                </v:textbox>
              </v:rect>
            </w:pict>
          </mc:Fallback>
        </mc:AlternateContent>
      </w:r>
    </w:p>
    <w:p w14:paraId="4A6CC829" w14:textId="77777777" w:rsidR="007377DD" w:rsidRPr="005D612E" w:rsidRDefault="007377DD" w:rsidP="007377DD">
      <w:pPr>
        <w:spacing w:line="240" w:lineRule="auto"/>
        <w:rPr>
          <w:rFonts w:ascii="Arial" w:hAnsi="Arial" w:cs="Arial"/>
          <w:color w:val="auto"/>
        </w:rPr>
      </w:pPr>
    </w:p>
    <w:p w14:paraId="4A479D71"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74624" behindDoc="0" locked="0" layoutInCell="1" allowOverlap="1" wp14:anchorId="04F9ABD4" wp14:editId="7941A473">
                <wp:simplePos x="0" y="0"/>
                <wp:positionH relativeFrom="column">
                  <wp:posOffset>-1160940</wp:posOffset>
                </wp:positionH>
                <wp:positionV relativeFrom="paragraph">
                  <wp:posOffset>140495</wp:posOffset>
                </wp:positionV>
                <wp:extent cx="2787335" cy="262890"/>
                <wp:effectExtent l="4763" t="0" r="18097" b="18098"/>
                <wp:wrapNone/>
                <wp:docPr id="32" name="Flowchart: Alternate Process 32"/>
                <wp:cNvGraphicFramePr/>
                <a:graphic xmlns:a="http://schemas.openxmlformats.org/drawingml/2006/main">
                  <a:graphicData uri="http://schemas.microsoft.com/office/word/2010/wordprocessingShape">
                    <wps:wsp>
                      <wps:cNvSpPr/>
                      <wps:spPr>
                        <a:xfrm rot="16200000">
                          <a:off x="0" y="0"/>
                          <a:ext cx="2787335"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3DA8B6C8" w14:textId="77777777" w:rsidR="007377DD" w:rsidRDefault="007377DD" w:rsidP="007377DD">
                            <w:pPr>
                              <w:spacing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C78EFE6" w14:textId="77777777" w:rsidR="007377DD" w:rsidRPr="001502CF" w:rsidRDefault="007377DD" w:rsidP="007377DD">
                            <w:pPr>
                              <w:spacing w:line="240" w:lineRule="auto"/>
                              <w:rPr>
                                <w:rFonts w:ascii="Arial" w:hAnsi="Arial" w:cs="Arial"/>
                                <w:b/>
                                <w:color w:val="000000" w:themeColor="text1"/>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9ABD4" id="Flowchart: Alternate Process 32" o:spid="_x0000_s1034" type="#_x0000_t176" style="position:absolute;left:0;text-align:left;margin-left:-91.4pt;margin-top:11.05pt;width:219.5pt;height:20.7pt;rotation:-9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" fillcolor="#9cc2e5 [1944]" strokecolor="black [3213]" strokeweight="1pt">
                <v:textbox>
                  <w:txbxContent>
                    <w:p w14:paraId="3DA8B6C8" w14:textId="77777777" w:rsidR="007377DD" w:rsidRDefault="007377DD" w:rsidP="007377DD">
                      <w:pPr>
                        <w:spacing w:line="240" w:lineRule="auto"/>
                        <w:jc w:val="center"/>
                        <w:rPr>
                          <w:rFonts w:ascii="Arial" w:hAnsi="Arial" w:cs="Arial"/>
                          <w:b/>
                          <w:color w:val="000000" w:themeColor="text1"/>
                          <w:sz w:val="18"/>
                          <w:szCs w:val="18"/>
                        </w:rPr>
                      </w:pPr>
                      <w:r>
                        <w:rPr>
                          <w:rFonts w:ascii="Arial" w:hAnsi="Arial" w:cs="Arial"/>
                          <w:b/>
                          <w:color w:val="000000" w:themeColor="text1"/>
                          <w:sz w:val="18"/>
                          <w:szCs w:val="18"/>
                        </w:rPr>
                        <w:t>Screening</w:t>
                      </w:r>
                    </w:p>
                    <w:p w14:paraId="0C78EFE6" w14:textId="77777777" w:rsidR="007377DD" w:rsidRPr="001502CF" w:rsidRDefault="007377DD" w:rsidP="007377DD">
                      <w:pPr>
                        <w:spacing w:line="240" w:lineRule="auto"/>
                        <w:rPr>
                          <w:rFonts w:ascii="Arial" w:hAnsi="Arial" w:cs="Arial"/>
                          <w:b/>
                          <w:color w:val="000000" w:themeColor="text1"/>
                          <w:sz w:val="18"/>
                          <w:szCs w:val="18"/>
                        </w:rPr>
                      </w:pPr>
                    </w:p>
                  </w:txbxContent>
                </v:textbox>
              </v:shape>
            </w:pict>
          </mc:Fallback>
        </mc:AlternateContent>
      </w:r>
    </w:p>
    <w:p w14:paraId="386FDC02"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78720" behindDoc="0" locked="0" layoutInCell="1" allowOverlap="1" wp14:anchorId="664ED812" wp14:editId="79C413F6">
                <wp:simplePos x="0" y="0"/>
                <wp:positionH relativeFrom="column">
                  <wp:posOffset>1409700</wp:posOffset>
                </wp:positionH>
                <wp:positionV relativeFrom="paragraph">
                  <wp:posOffset>56515</wp:posOffset>
                </wp:positionV>
                <wp:extent cx="0" cy="281305"/>
                <wp:effectExtent l="76200" t="0" r="57150" b="61595"/>
                <wp:wrapNone/>
                <wp:docPr id="36" name="Straight Arrow Connector 36"/>
                <wp:cNvGraphicFramePr/>
                <a:graphic xmlns:a="http://schemas.openxmlformats.org/drawingml/2006/main">
                  <a:graphicData uri="http://schemas.microsoft.com/office/word/2010/wordprocessingShape">
                    <wps:wsp>
                      <wps:cNvCnPr/>
                      <wps:spPr>
                        <a:xfrm>
                          <a:off x="0" y="0"/>
                          <a:ext cx="0" cy="281305"/>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2761FC" id="Straight Arrow Connector 36" o:spid="_x0000_s1026" type="#_x0000_t32" style="position:absolute;margin-left:111pt;margin-top:4.45pt;width:0;height:22.15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BQXSfkyAEAAP0DAAAOAAAAZHJzL2Uyb0RvYy54bWysU8uO3CAQvEfKPyDuGdsTJVqNxrOH2d1c omSVxwewuLGRMI2gM7b/PoA9dl6KlGgvbQNdXV1Fc7wde8Mu4INGW/NqV3IGVmKjbVvzr18eXt1w FkjYRhi0UPMJAr89vXxxHNwB9tihacCzWMSGw+Bq3hG5Q1EE2UEvwg4d2Hio0PeC4tK3RePFEKv3 ptiX5dtiQN84jxJCiLt38yE/5fpKgaSPSgUgZmoee6McfY5PKRanozi0XrhOy6UN8R9d9ELbSLqW uhMk2DevfyvVa+kxoKKdxL5ApbSErCGqqcpf1HzuhIOsJZoT3GpTeL6y8sPlbB99tGFw4RDco08q RuX79I39sTGbNa1mwUhMzpsy7u5vqtflm+RjseGcD/QOsGfpp+aBvNBtR2e0Nt4I+ip7JS7vA83A KyCRGptiQKObB21MXqRxgLPx7CLiRdJYLYQ/ZZHQ5t42jCYXJ428FrY1sGSmqsWmMf/RZGBm/ASK 6SaqmjvL47fxCSnB0pXT2JidYCp2twLLLOmvwCU/QSGP5r+AV0RmRksruNcW/Z/YN5vUnH91YNad LHjCZsq3n62JM5avcXkPaYh/XGf49mpP3wEAAP//AwBQSwMEFAAGAAgAAAAhAHgWr8fdAAAACAEA AA8AAABkcnMvZG93bnJldi54bWxMj1FLwzAUhd8F/0O4gm8uXUXZam/HEAZDGczpD0iba1tMbmqS be2/X8QHfTycwznfKVejNeJEPvSOEeazDARx43TPLcLH++ZuASJExVoZx4QwUYBVdX1VqkK7M7/R 6RBbkUo4FAqhi3EopAxNR1aFmRuIk/fpvFUxSd9K7dU5lVsj8yx7lFb1nBY6NdBzR83X4WgRltuh rc3+9WX+nfnNtt9Pu3E9Id7ejOsnEJHG+BeGH/yEDlViqt2RdRAGIc/z9CUiLJYgkv+ra4SH+xxk Vcr/B6oLAAAA//8DAFBLAQItABQABgAIAAAAIQC2gziS/gAAAOEBAAATAAAAAAAAAAAAAAAAAAAA AABbQ29udGVudF9UeXBlc10ueG1sUEsBAi0AFAAGAAgAAAAhADj9If/WAAAAlAEAAAsAAAAAAAAA AAAAAAAALwEAAF9yZWxzLy5yZWxzUEsBAi0AFAAGAAgAAAAhAFBdJ+TIAQAA/QMAAA4AAAAAAAAA AAAAAAAALgIAAGRycy9lMm9Eb2MueG1sUEsBAi0AFAAGAAgAAAAhAHgWr8fdAAAACAEAAA8AAAAA AAAAAAAAAAAAIgQAAGRycy9kb3ducmV2LnhtbFBLBQYAAAAABAAEAPMAAAAsBQAAAAA= " strokecolor="black [3213]" strokeweight=".5pt">
                <v:stroke endarrow="block" joinstyle="miter"/>
              </v:shape>
            </w:pict>
          </mc:Fallback>
        </mc:AlternateContent>
      </w:r>
    </w:p>
    <w:p w14:paraId="3657F80B" w14:textId="77777777" w:rsidR="007377DD" w:rsidRPr="005D612E" w:rsidRDefault="007377DD" w:rsidP="007377DD">
      <w:pPr>
        <w:spacing w:line="240" w:lineRule="auto"/>
        <w:rPr>
          <w:rFonts w:ascii="Arial" w:hAnsi="Arial" w:cs="Arial"/>
          <w:color w:val="auto"/>
        </w:rPr>
      </w:pPr>
    </w:p>
    <w:p w14:paraId="67D38420" w14:textId="103B1343" w:rsidR="007377DD" w:rsidRPr="005D612E" w:rsidRDefault="009D0EEA"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66432" behindDoc="0" locked="0" layoutInCell="1" allowOverlap="1" wp14:anchorId="6DEEA5A4" wp14:editId="3542DA4A">
                <wp:simplePos x="0" y="0"/>
                <wp:positionH relativeFrom="margin">
                  <wp:posOffset>3064933</wp:posOffset>
                </wp:positionH>
                <wp:positionV relativeFrom="paragraph">
                  <wp:posOffset>9737</wp:posOffset>
                </wp:positionV>
                <wp:extent cx="1930400" cy="1346200"/>
                <wp:effectExtent l="0" t="0" r="12700" b="25400"/>
                <wp:wrapNone/>
                <wp:docPr id="9" name="Rectangle 9"/>
                <wp:cNvGraphicFramePr/>
                <a:graphic xmlns:a="http://schemas.openxmlformats.org/drawingml/2006/main">
                  <a:graphicData uri="http://schemas.microsoft.com/office/word/2010/wordprocessingShape">
                    <wps:wsp>
                      <wps:cNvSpPr/>
                      <wps:spPr>
                        <a:xfrm>
                          <a:off x="0" y="0"/>
                          <a:ext cx="1930400" cy="13462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C0FC754"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Reports excluded:</w:t>
                            </w:r>
                          </w:p>
                          <w:p w14:paraId="745EB38F" w14:textId="2D56564F" w:rsidR="007377DD" w:rsidRDefault="009D0EEA" w:rsidP="007377DD">
                            <w:pPr>
                              <w:spacing w:line="240" w:lineRule="auto"/>
                              <w:ind w:left="284"/>
                              <w:rPr>
                                <w:rFonts w:ascii="Arial" w:hAnsi="Arial" w:cs="Arial"/>
                                <w:color w:val="000000" w:themeColor="text1"/>
                                <w:sz w:val="18"/>
                                <w:szCs w:val="20"/>
                              </w:rPr>
                            </w:pPr>
                            <w:r>
                              <w:rPr>
                                <w:rFonts w:ascii="Calibri" w:eastAsia="Calibri" w:hAnsi="Calibri" w:cs="Calibri"/>
                                <w:sz w:val="18"/>
                                <w:szCs w:val="18"/>
                              </w:rPr>
                              <w:t xml:space="preserve">Not peer-reviewed </w:t>
                            </w:r>
                            <w:r>
                              <w:rPr>
                                <w:rFonts w:ascii="Arial" w:hAnsi="Arial" w:cs="Arial"/>
                                <w:color w:val="000000" w:themeColor="text1"/>
                                <w:sz w:val="18"/>
                                <w:szCs w:val="20"/>
                              </w:rPr>
                              <w:t>(n = 64)</w:t>
                            </w:r>
                          </w:p>
                          <w:p w14:paraId="701B712D" w14:textId="57A12F1C" w:rsidR="007377DD" w:rsidRDefault="009D0EEA" w:rsidP="007377DD">
                            <w:pPr>
                              <w:spacing w:line="240" w:lineRule="auto"/>
                              <w:ind w:left="284"/>
                              <w:rPr>
                                <w:rFonts w:ascii="Arial" w:hAnsi="Arial" w:cs="Arial"/>
                                <w:color w:val="000000" w:themeColor="text1"/>
                                <w:sz w:val="18"/>
                                <w:szCs w:val="20"/>
                              </w:rPr>
                            </w:pPr>
                            <w:r>
                              <w:rPr>
                                <w:rFonts w:ascii="Calibri" w:eastAsia="Calibri" w:hAnsi="Calibri" w:cs="Calibri"/>
                                <w:sz w:val="18"/>
                                <w:szCs w:val="18"/>
                              </w:rPr>
                              <w:t xml:space="preserve">No school-level relevance </w:t>
                            </w:r>
                            <w:r>
                              <w:rPr>
                                <w:rFonts w:ascii="Arial" w:hAnsi="Arial" w:cs="Arial"/>
                                <w:color w:val="000000" w:themeColor="text1"/>
                                <w:sz w:val="18"/>
                                <w:szCs w:val="20"/>
                              </w:rPr>
                              <w:t>2 (n = 71)</w:t>
                            </w:r>
                          </w:p>
                          <w:p w14:paraId="67D1D1D8" w14:textId="674390CE" w:rsidR="007377DD" w:rsidRDefault="009D0EEA" w:rsidP="007377DD">
                            <w:pPr>
                              <w:spacing w:line="240" w:lineRule="auto"/>
                              <w:ind w:left="284"/>
                              <w:rPr>
                                <w:rFonts w:ascii="Arial" w:hAnsi="Arial" w:cs="Arial"/>
                                <w:color w:val="000000" w:themeColor="text1"/>
                                <w:sz w:val="18"/>
                                <w:szCs w:val="20"/>
                              </w:rPr>
                            </w:pPr>
                            <w:r>
                              <w:rPr>
                                <w:rFonts w:ascii="Calibri" w:eastAsia="Calibri" w:hAnsi="Calibri" w:cs="Calibri"/>
                                <w:sz w:val="18"/>
                                <w:szCs w:val="18"/>
                              </w:rPr>
                              <w:t>No power or institutional contextualisation</w:t>
                            </w:r>
                            <w:r>
                              <w:rPr>
                                <w:rFonts w:ascii="Arial" w:hAnsi="Arial" w:cs="Arial"/>
                                <w:color w:val="000000" w:themeColor="text1"/>
                                <w:sz w:val="18"/>
                                <w:szCs w:val="20"/>
                              </w:rPr>
                              <w:t xml:space="preserve"> (n = 88)</w:t>
                            </w:r>
                          </w:p>
                          <w:p w14:paraId="776C271A" w14:textId="3900C0A4" w:rsidR="007377DD" w:rsidRPr="00560609" w:rsidRDefault="009D0EEA" w:rsidP="009D0EEA">
                            <w:pPr>
                              <w:spacing w:line="240" w:lineRule="auto"/>
                              <w:ind w:left="284"/>
                              <w:rPr>
                                <w:rFonts w:ascii="Arial" w:hAnsi="Arial" w:cs="Arial"/>
                                <w:color w:val="000000" w:themeColor="text1"/>
                                <w:sz w:val="18"/>
                                <w:szCs w:val="20"/>
                              </w:rPr>
                            </w:pPr>
                            <w:r>
                              <w:rPr>
                                <w:rFonts w:ascii="Calibri" w:eastAsia="Calibri" w:hAnsi="Calibri" w:cs="Calibri"/>
                                <w:sz w:val="18"/>
                                <w:szCs w:val="18"/>
                              </w:rPr>
                              <w:t>Purely technical / engineering focus (n = 47)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DEEA5A4" id="Rectangle 9" o:spid="_x0000_s1035" style="position:absolute;left:0;text-align:left;margin-left:241.35pt;margin-top:.75pt;width:152pt;height:106pt;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" filled="f" strokecolor="black [3213]" strokeweight="1pt">
                <v:textbox>
                  <w:txbxContent>
                    <w:p w14:paraId="2C0FC754"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Reports excluded:</w:t>
                      </w:r>
                    </w:p>
                    <w:p w14:paraId="745EB38F" w14:textId="2D56564F" w:rsidR="007377DD" w:rsidRDefault="009D0EEA" w:rsidP="007377DD">
                      <w:pPr>
                        <w:spacing w:line="240" w:lineRule="auto"/>
                        <w:ind w:left="284"/>
                        <w:rPr>
                          <w:rFonts w:ascii="Arial" w:hAnsi="Arial" w:cs="Arial"/>
                          <w:color w:val="000000" w:themeColor="text1"/>
                          <w:sz w:val="18"/>
                          <w:szCs w:val="20"/>
                        </w:rPr>
                      </w:pPr>
                      <w:r>
                        <w:rPr>
                          <w:rFonts w:ascii="Calibri" w:eastAsia="Calibri" w:hAnsi="Calibri" w:cs="Calibri"/>
                          <w:sz w:val="18"/>
                          <w:szCs w:val="18"/>
                        </w:rPr>
                        <w:t xml:space="preserve">Not peer-reviewed </w:t>
                      </w:r>
                      <w:r>
                        <w:rPr>
                          <w:rFonts w:ascii="Arial" w:hAnsi="Arial" w:cs="Arial"/>
                          <w:color w:val="000000" w:themeColor="text1"/>
                          <w:sz w:val="18"/>
                          <w:szCs w:val="20"/>
                        </w:rPr>
                        <w:t>(n = 64)</w:t>
                      </w:r>
                    </w:p>
                    <w:p w14:paraId="701B712D" w14:textId="57A12F1C" w:rsidR="007377DD" w:rsidRDefault="009D0EEA" w:rsidP="007377DD">
                      <w:pPr>
                        <w:spacing w:line="240" w:lineRule="auto"/>
                        <w:ind w:left="284"/>
                        <w:rPr>
                          <w:rFonts w:ascii="Arial" w:hAnsi="Arial" w:cs="Arial"/>
                          <w:color w:val="000000" w:themeColor="text1"/>
                          <w:sz w:val="18"/>
                          <w:szCs w:val="20"/>
                        </w:rPr>
                      </w:pPr>
                      <w:r>
                        <w:rPr>
                          <w:rFonts w:ascii="Calibri" w:eastAsia="Calibri" w:hAnsi="Calibri" w:cs="Calibri"/>
                          <w:sz w:val="18"/>
                          <w:szCs w:val="18"/>
                        </w:rPr>
                        <w:t xml:space="preserve">No school-level relevance </w:t>
                      </w:r>
                      <w:r>
                        <w:rPr>
                          <w:rFonts w:ascii="Arial" w:hAnsi="Arial" w:cs="Arial"/>
                          <w:color w:val="000000" w:themeColor="text1"/>
                          <w:sz w:val="18"/>
                          <w:szCs w:val="20"/>
                        </w:rPr>
                        <w:t>2 (n = 71)</w:t>
                      </w:r>
                    </w:p>
                    <w:p w14:paraId="67D1D1D8" w14:textId="674390CE" w:rsidR="007377DD" w:rsidRDefault="009D0EEA" w:rsidP="007377DD">
                      <w:pPr>
                        <w:spacing w:line="240" w:lineRule="auto"/>
                        <w:ind w:left="284"/>
                        <w:rPr>
                          <w:rFonts w:ascii="Arial" w:hAnsi="Arial" w:cs="Arial"/>
                          <w:color w:val="000000" w:themeColor="text1"/>
                          <w:sz w:val="18"/>
                          <w:szCs w:val="20"/>
                        </w:rPr>
                      </w:pPr>
                      <w:r>
                        <w:rPr>
                          <w:rFonts w:ascii="Calibri" w:eastAsia="Calibri" w:hAnsi="Calibri" w:cs="Calibri"/>
                          <w:sz w:val="18"/>
                          <w:szCs w:val="18"/>
                        </w:rPr>
                        <w:t>No power or institutional contextualisation</w:t>
                      </w:r>
                      <w:r>
                        <w:rPr>
                          <w:rFonts w:ascii="Arial" w:hAnsi="Arial" w:cs="Arial"/>
                          <w:color w:val="000000" w:themeColor="text1"/>
                          <w:sz w:val="18"/>
                          <w:szCs w:val="20"/>
                        </w:rPr>
                        <w:t xml:space="preserve"> (n = 88)</w:t>
                      </w:r>
                    </w:p>
                    <w:p w14:paraId="776C271A" w14:textId="3900C0A4" w:rsidR="007377DD" w:rsidRPr="00560609" w:rsidRDefault="009D0EEA" w:rsidP="009D0EEA">
                      <w:pPr>
                        <w:spacing w:line="240" w:lineRule="auto"/>
                        <w:ind w:left="284"/>
                        <w:rPr>
                          <w:rFonts w:ascii="Arial" w:hAnsi="Arial" w:cs="Arial"/>
                          <w:color w:val="000000" w:themeColor="text1"/>
                          <w:sz w:val="18"/>
                          <w:szCs w:val="20"/>
                        </w:rPr>
                      </w:pPr>
                      <w:r>
                        <w:rPr>
                          <w:rFonts w:ascii="Calibri" w:eastAsia="Calibri" w:hAnsi="Calibri" w:cs="Calibri"/>
                          <w:sz w:val="18"/>
                          <w:szCs w:val="18"/>
                        </w:rPr>
                        <w:t>Purely technical / engineering focus (n = 47)</w:t>
                      </w:r>
                    </w:p>
                  </w:txbxContent>
                </v:textbox>
                <w10:wrap anchorx="margin"/>
              </v:rect>
            </w:pict>
          </mc:Fallback>
        </mc:AlternateContent>
      </w:r>
      <w:r w:rsidRPr="005D612E">
        <w:rPr>
          <w:rFonts w:ascii="Arial" w:hAnsi="Arial" w:cs="Arial"/>
          <w:noProof/>
          <w:color w:val="auto"/>
        </w:rPr>
        <mc:AlternateContent>
          <mc:Choice Requires="wps">
            <w:drawing>
              <wp:anchor distT="0" distB="0" distL="114300" distR="114300" simplePos="0" relativeHeight="251671552" behindDoc="0" locked="0" layoutInCell="1" allowOverlap="1" wp14:anchorId="723EB402" wp14:editId="6A8CA371">
                <wp:simplePos x="0" y="0"/>
                <wp:positionH relativeFrom="column">
                  <wp:posOffset>2476500</wp:posOffset>
                </wp:positionH>
                <wp:positionV relativeFrom="paragraph">
                  <wp:posOffset>294640</wp:posOffset>
                </wp:positionV>
                <wp:extent cx="563245" cy="0"/>
                <wp:effectExtent l="0" t="76200" r="27305" b="95250"/>
                <wp:wrapNone/>
                <wp:docPr id="17" name="Straight Arrow Connector 17"/>
                <wp:cNvGraphicFramePr/>
                <a:graphic xmlns:a="http://schemas.openxmlformats.org/drawingml/2006/main">
                  <a:graphicData uri="http://schemas.microsoft.com/office/word/2010/wordprocessingShape">
                    <wps:wsp>
                      <wps:cNvCnPr/>
                      <wps:spPr>
                        <a:xfrm>
                          <a:off x="0" y="0"/>
                          <a:ext cx="563245" cy="0"/>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6CD6537" id="Straight Arrow Connector 17" o:spid="_x0000_s1026" type="#_x0000_t32" style="position:absolute;margin-left:195pt;margin-top:23.2pt;width:44.35pt;height:0;z-index:25167155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DRW7NygEAAP0DAAAOAAAAZHJzL2Uyb0RvYy54bWysU9uO0zAQfUfiHyy/07SFXaGo6T50WV4Q rLh8gNcZJ5Z8kz00yd8zdtqEm5BAvExie86cOcfjw91oDTtDTNq7hu82W87ASd9q1zX8y+eHF685 SyhcK4x30PAJEr87Pn92GEINe99700JkVMSleggN7xFDXVVJ9mBF2vgAjg6Vj1YgLWNXtVEMVN2a ar/d3laDj22IXkJKtHs/H/Jjqa8USPygVAJkpuHUG5YYS3zKsToeRN1FEXotL22If+jCCu2IdCl1 L1Cwr1H/UspqGX3yCjfS28orpSUUDaRmt/1JzadeBChayJwUFpvS/ysr359P7jGSDUNIdQqPMasY VbT5S/2xsZg1LWbBiEzS5s3ty/2rG87k9ahacSEmfAvesvzT8IRR6K7Hk3eObsTHXfFKnN8lJGYC XgGZ1Lgckze6fdDGlEUeBziZyM6CLhLHXb44wv2QhUKbN65lOAWaNIxauM7AJTNXrVaN5Q8nAzPj R1BMt6Rq7qyM38onpASHV07jKDvDFHW3ALdF0h+Bl/wMhTKafwNeEIXZO1zAVjsff8e+2qTm/KsD s+5swZNvp3L7xRqaseLq5T3kIf5+XeDrqz1+AwAA//8DAFBLAwQUAAYACAAAACEAZWCFbN8AAAAJ AQAADwAAAGRycy9kb3ducmV2LnhtbEyPzU7DMBCE70i8g7VI3KhdiPqTxqkqpEoVCKkUHsCJt0mE vQ622yZvjxGHcpyd0ew3xXqwhp3Rh86RhOlEAEOqne6okfD5sX1YAAtRkVbGEUoYMcC6vL0pVK7d hd7xfIgNSyUUciWhjbHPOQ91i1aFieuRknd03qqYpG+49uqSyq3hj0LMuFUdpQ+t6vG5xfrrcLIS lru+qcz+9WX6Lfx21+3Ht2EzSnl/N2xWwCIO8RqGX/yEDmViqtyJdGBGwtNSpC1RQjbLgKVANl/M gVV/B14W/P+C8gcAAP//AwBQSwECLQAUAAYACAAAACEAtoM4kv4AAADhAQAAEwAAAAAAAAAAAAAA AAAAAAAAW0NvbnRlbnRfVHlwZXNdLnhtbFBLAQItABQABgAIAAAAIQA4/SH/1gAAAJQBAAALAAAA AAAAAAAAAAAAAC8BAABfcmVscy8ucmVsc1BLAQItABQABgAIAAAAIQADRW7NygEAAP0DAAAOAAAA AAAAAAAAAAAAAC4CAABkcnMvZTJvRG9jLnhtbFBLAQItABQABgAIAAAAIQBlYIVs3wAAAAkBAAAP AAAAAAAAAAAAAAAAACQEAABkcnMvZG93bnJldi54bWxQSwUGAAAAAAQABADzAAAAMAUAAAAA " strokecolor="black [3213]" strokeweight=".5pt">
                <v:stroke endarrow="block" joinstyle="miter"/>
              </v:shape>
            </w:pict>
          </mc:Fallback>
        </mc:AlternateContent>
      </w:r>
      <w:r w:rsidRPr="005D612E">
        <w:rPr>
          <w:rFonts w:ascii="Arial" w:hAnsi="Arial" w:cs="Arial"/>
          <w:noProof/>
          <w:color w:val="auto"/>
        </w:rPr>
        <mc:AlternateContent>
          <mc:Choice Requires="wps">
            <w:drawing>
              <wp:anchor distT="0" distB="0" distL="114300" distR="114300" simplePos="0" relativeHeight="251665408" behindDoc="0" locked="0" layoutInCell="1" allowOverlap="1" wp14:anchorId="3067037D" wp14:editId="58186F74">
                <wp:simplePos x="0" y="0"/>
                <wp:positionH relativeFrom="column">
                  <wp:posOffset>561975</wp:posOffset>
                </wp:positionH>
                <wp:positionV relativeFrom="paragraph">
                  <wp:posOffset>13335</wp:posOffset>
                </wp:positionV>
                <wp:extent cx="1887220" cy="526415"/>
                <wp:effectExtent l="0" t="0" r="17780" b="26035"/>
                <wp:wrapNone/>
                <wp:docPr id="8" name="Rectangle 8"/>
                <wp:cNvGraphicFramePr/>
                <a:graphic xmlns:a="http://schemas.openxmlformats.org/drawingml/2006/main">
                  <a:graphicData uri="http://schemas.microsoft.com/office/word/2010/wordprocessingShape">
                    <wps:wsp>
                      <wps:cNvSpPr/>
                      <wps:spPr>
                        <a:xfrm>
                          <a:off x="0" y="0"/>
                          <a:ext cx="1887220" cy="52641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1E4D476"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Reports assessed for eligibility</w:t>
                            </w:r>
                          </w:p>
                          <w:p w14:paraId="22B7A476" w14:textId="2A41C85B"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 312)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67037D" id="Rectangle 8" o:spid="_x0000_s1036" style="position:absolute;left:0;text-align:left;margin-left:44.25pt;margin-top:1.05pt;width:148.6pt;height:41.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" filled="f" strokecolor="black [3213]" strokeweight="1pt">
                <v:textbox>
                  <w:txbxContent>
                    <w:p w14:paraId="61E4D476"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Reports assessed for eligibility</w:t>
                      </w:r>
                    </w:p>
                    <w:p w14:paraId="22B7A476" w14:textId="2A41C85B" w:rsidR="007377DD" w:rsidRPr="00560609"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(n = 312)</w:t>
                      </w:r>
                    </w:p>
                  </w:txbxContent>
                </v:textbox>
              </v:rect>
            </w:pict>
          </mc:Fallback>
        </mc:AlternateContent>
      </w:r>
    </w:p>
    <w:p w14:paraId="3880C06D" w14:textId="77777777" w:rsidR="007377DD" w:rsidRPr="005D612E" w:rsidRDefault="007377DD" w:rsidP="007377DD">
      <w:pPr>
        <w:spacing w:line="240" w:lineRule="auto"/>
        <w:rPr>
          <w:rFonts w:ascii="Arial" w:hAnsi="Arial" w:cs="Arial"/>
          <w:color w:val="auto"/>
        </w:rPr>
      </w:pPr>
    </w:p>
    <w:p w14:paraId="3E62F8A7" w14:textId="77777777" w:rsidR="007377DD" w:rsidRPr="005D612E" w:rsidRDefault="007377DD" w:rsidP="007377DD">
      <w:pPr>
        <w:spacing w:line="240" w:lineRule="auto"/>
        <w:rPr>
          <w:rFonts w:ascii="Arial" w:hAnsi="Arial" w:cs="Arial"/>
          <w:color w:val="auto"/>
        </w:rPr>
      </w:pPr>
    </w:p>
    <w:p w14:paraId="75E9FD73"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79744" behindDoc="0" locked="0" layoutInCell="1" allowOverlap="1" wp14:anchorId="220B357F" wp14:editId="2310206E">
                <wp:simplePos x="0" y="0"/>
                <wp:positionH relativeFrom="column">
                  <wp:posOffset>1400861</wp:posOffset>
                </wp:positionH>
                <wp:positionV relativeFrom="paragraph">
                  <wp:posOffset>29667</wp:posOffset>
                </wp:positionV>
                <wp:extent cx="0" cy="746151"/>
                <wp:effectExtent l="76200" t="0" r="57150" b="53975"/>
                <wp:wrapNone/>
                <wp:docPr id="19" name="Straight Arrow Connector 19"/>
                <wp:cNvGraphicFramePr/>
                <a:graphic xmlns:a="http://schemas.openxmlformats.org/drawingml/2006/main">
                  <a:graphicData uri="http://schemas.microsoft.com/office/word/2010/wordprocessingShape">
                    <wps:wsp>
                      <wps:cNvCnPr/>
                      <wps:spPr>
                        <a:xfrm>
                          <a:off x="0" y="0"/>
                          <a:ext cx="0" cy="746151"/>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0C40267" id="Straight Arrow Connector 19" o:spid="_x0000_s1026" type="#_x0000_t32" style="position:absolute;margin-left:110.3pt;margin-top:2.35pt;width:0;height:58.75pt;z-index:2516797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YDXNixwEAAP0DAAAOAAAAZHJzL2Uyb0RvYy54bWysU9tu1DAQfUfiH6y8s0kqKCjabB+2lBcE FZQPcJ1xYsk3jYdN8vfYzm7CTUiteJnElzNnzpnx/mYymp0Ag3K2LepdVTCwwnXK9m3x7eHu1buC BeK249pZaIsZQnFzePliP/oGrtzgdAfIYhIbmtG3xUDkm7IMYgDDw855sPFQOjSc4hL7skM+xuxG l1dVdV2ODjuPTkAIcfd2OSwOOb+UIOizlAGI6baItVGOmONjiuVhz5seuR+UOJfBn1GF4cpG0jXV LSfOvqP6I5VRAl1wknbCmdJJqQRkDVFNXf2m5uvAPWQt0ZzgV5vC/0srPp2O9h6jDaMPTfD3mFRM Ek36xvrYlM2aV7NgIiaWTRF3376+rt/Uycdyw3kM9AGcYemnLQIhV/1AR2dt7IjDOnvFTx8DLcAL IJFqm2JwWnV3Suu8SOMAR43sxGMjaboQ/nKLuNLvbcdo9nHSCBW3vYZzaSlruWnMfzRrWBi/gGSq i6qWyvL4bXxcCLB04dQ23k4wGatbgVWW9E/g+X6CQh7Np4BXRGZ2llawUdbh39g3m+Ry/+LAojtZ 8Oi6OXc/WxNnLLfx/B7SEP+8zvDt1R5+AAAA//8DAFBLAwQUAAYACAAAACEABR0i1twAAAAJAQAA DwAAAGRycy9kb3ducmV2LnhtbEyP0UrDMBSG7wXfIRzBO5csyNSu6RjCYCjCNn2AtMnaYnJSk2xr 394jXujlz//xn++Uq9E7drYx9QEVzGcCmMUmmB5bBR/vm7tHYClrNNoFtAomm2BVXV+VujDhgnt7 PuSW0QimQivoch4KzlPTWa/TLAwWqTuG6HWmGFtuor7QuHdcCrHgXvdIFzo92OfONp+Hk1fwtB3a 2u1eX+ZfIm62/W56G9eTUrc343oJLNsx/8Hwo0/qUJFTHU5oEnMKpBQLQhXcPwCj/jfXBEopgVcl //9B9Q0AAP//AwBQSwECLQAUAAYACAAAACEAtoM4kv4AAADhAQAAEwAAAAAAAAAAAAAAAAAAAAAA W0NvbnRlbnRfVHlwZXNdLnhtbFBLAQItABQABgAIAAAAIQA4/SH/1gAAAJQBAAALAAAAAAAAAAAA AAAAAC8BAABfcmVscy8ucmVsc1BLAQItABQABgAIAAAAIQAYDXNixwEAAP0DAAAOAAAAAAAAAAAA AAAAAC4CAABkcnMvZTJvRG9jLnhtbFBLAQItABQABgAIAAAAIQAFHSLW3AAAAAkBAAAPAAAAAAAA AAAAAAAAACEEAABkcnMvZG93bnJldi54bWxQSwUGAAAAAAQABADzAAAAKgUAAAAA " strokecolor="black [3213]" strokeweight=".5pt">
                <v:stroke endarrow="block" joinstyle="miter"/>
              </v:shape>
            </w:pict>
          </mc:Fallback>
        </mc:AlternateContent>
      </w:r>
    </w:p>
    <w:p w14:paraId="2CAD1C5D" w14:textId="77777777" w:rsidR="007377DD" w:rsidRPr="005D612E" w:rsidRDefault="007377DD" w:rsidP="007377DD">
      <w:pPr>
        <w:spacing w:line="240" w:lineRule="auto"/>
        <w:rPr>
          <w:rFonts w:ascii="Arial" w:hAnsi="Arial" w:cs="Arial"/>
          <w:color w:val="auto"/>
        </w:rPr>
      </w:pPr>
    </w:p>
    <w:p w14:paraId="0825F1BB" w14:textId="77777777" w:rsidR="007377DD" w:rsidRPr="005D612E" w:rsidRDefault="007377DD" w:rsidP="007377DD">
      <w:pPr>
        <w:spacing w:line="240" w:lineRule="auto"/>
        <w:rPr>
          <w:rFonts w:ascii="Arial" w:hAnsi="Arial" w:cs="Arial"/>
          <w:color w:val="auto"/>
        </w:rPr>
      </w:pPr>
    </w:p>
    <w:p w14:paraId="32B75386" w14:textId="77777777" w:rsidR="007377DD" w:rsidRPr="005D612E" w:rsidRDefault="007377DD" w:rsidP="007377DD">
      <w:pPr>
        <w:spacing w:line="240" w:lineRule="auto"/>
        <w:rPr>
          <w:rFonts w:ascii="Arial" w:hAnsi="Arial" w:cs="Arial"/>
          <w:color w:val="auto"/>
        </w:rPr>
      </w:pPr>
    </w:p>
    <w:p w14:paraId="3E0C052F"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67456" behindDoc="0" locked="0" layoutInCell="1" allowOverlap="1" wp14:anchorId="3CB8E6E4" wp14:editId="1C7E84E2">
                <wp:simplePos x="0" y="0"/>
                <wp:positionH relativeFrom="column">
                  <wp:posOffset>540385</wp:posOffset>
                </wp:positionH>
                <wp:positionV relativeFrom="paragraph">
                  <wp:posOffset>110795</wp:posOffset>
                </wp:positionV>
                <wp:extent cx="1887220" cy="723900"/>
                <wp:effectExtent l="0" t="0" r="17780" b="19050"/>
                <wp:wrapNone/>
                <wp:docPr id="13" name="Rectangle 13"/>
                <wp:cNvGraphicFramePr/>
                <a:graphic xmlns:a="http://schemas.openxmlformats.org/drawingml/2006/main">
                  <a:graphicData uri="http://schemas.microsoft.com/office/word/2010/wordprocessingShape">
                    <wps:wsp>
                      <wps:cNvSpPr/>
                      <wps:spPr>
                        <a:xfrm>
                          <a:off x="0" y="0"/>
                          <a:ext cx="1887220" cy="7239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8D4186E"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12C16961" w14:textId="094D202C" w:rsidR="007377DD" w:rsidRPr="00560609" w:rsidRDefault="007377DD" w:rsidP="009D0EEA">
                            <w:pPr>
                              <w:spacing w:line="240" w:lineRule="auto"/>
                              <w:rPr>
                                <w:rFonts w:ascii="Arial" w:hAnsi="Arial" w:cs="Arial"/>
                                <w:color w:val="000000" w:themeColor="text1"/>
                                <w:sz w:val="18"/>
                                <w:szCs w:val="20"/>
                              </w:rPr>
                            </w:pPr>
                            <w:r>
                              <w:rPr>
                                <w:rFonts w:ascii="Arial" w:hAnsi="Arial" w:cs="Arial"/>
                                <w:color w:val="000000" w:themeColor="text1"/>
                                <w:sz w:val="18"/>
                                <w:szCs w:val="20"/>
                              </w:rPr>
                              <w:t>(n = 42)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B8E6E4" id="Rectangle 13" o:spid="_x0000_s1037" style="position:absolute;left:0;text-align:left;margin-left:42.55pt;margin-top:8.7pt;width:148.6pt;height:5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" filled="f" strokecolor="black [3213]" strokeweight="1pt">
                <v:textbox>
                  <w:txbxContent>
                    <w:p w14:paraId="28D4186E" w14:textId="77777777" w:rsidR="007377DD" w:rsidRDefault="007377DD" w:rsidP="007377DD">
                      <w:pPr>
                        <w:spacing w:line="240" w:lineRule="auto"/>
                        <w:rPr>
                          <w:rFonts w:ascii="Arial" w:hAnsi="Arial" w:cs="Arial"/>
                          <w:color w:val="000000" w:themeColor="text1"/>
                          <w:sz w:val="18"/>
                          <w:szCs w:val="20"/>
                        </w:rPr>
                      </w:pPr>
                      <w:r>
                        <w:rPr>
                          <w:rFonts w:ascii="Arial" w:hAnsi="Arial" w:cs="Arial"/>
                          <w:color w:val="000000" w:themeColor="text1"/>
                          <w:sz w:val="18"/>
                          <w:szCs w:val="20"/>
                        </w:rPr>
                        <w:t>Studies included in review</w:t>
                      </w:r>
                    </w:p>
                    <w:p w14:paraId="12C16961" w14:textId="094D202C" w:rsidR="007377DD" w:rsidRPr="00560609" w:rsidRDefault="007377DD" w:rsidP="009D0EEA">
                      <w:pPr>
                        <w:spacing w:line="240" w:lineRule="auto"/>
                        <w:rPr>
                          <w:rFonts w:ascii="Arial" w:hAnsi="Arial" w:cs="Arial"/>
                          <w:color w:val="000000" w:themeColor="text1"/>
                          <w:sz w:val="18"/>
                          <w:szCs w:val="20"/>
                        </w:rPr>
                      </w:pPr>
                      <w:r>
                        <w:rPr>
                          <w:rFonts w:ascii="Arial" w:hAnsi="Arial" w:cs="Arial"/>
                          <w:color w:val="000000" w:themeColor="text1"/>
                          <w:sz w:val="18"/>
                          <w:szCs w:val="20"/>
                        </w:rPr>
                        <w:t>(n = 42)</w:t>
                      </w:r>
                    </w:p>
                  </w:txbxContent>
                </v:textbox>
              </v:rect>
            </w:pict>
          </mc:Fallback>
        </mc:AlternateContent>
      </w:r>
    </w:p>
    <w:p w14:paraId="6E2FBD2E" w14:textId="77777777" w:rsidR="007377DD" w:rsidRPr="005D612E" w:rsidRDefault="007377DD" w:rsidP="007377DD">
      <w:pPr>
        <w:spacing w:line="240" w:lineRule="auto"/>
        <w:rPr>
          <w:rFonts w:ascii="Arial" w:hAnsi="Arial" w:cs="Arial"/>
          <w:color w:val="auto"/>
        </w:rPr>
      </w:pPr>
      <w:r w:rsidRPr="005D612E">
        <w:rPr>
          <w:rFonts w:ascii="Arial" w:hAnsi="Arial" w:cs="Arial"/>
          <w:noProof/>
          <w:color w:val="auto"/>
        </w:rPr>
        <mc:AlternateContent>
          <mc:Choice Requires="wps">
            <w:drawing>
              <wp:anchor distT="0" distB="0" distL="114300" distR="114300" simplePos="0" relativeHeight="251675648" behindDoc="0" locked="0" layoutInCell="1" allowOverlap="1" wp14:anchorId="3CBC9397" wp14:editId="2976D841">
                <wp:simplePos x="0" y="0"/>
                <wp:positionH relativeFrom="column">
                  <wp:posOffset>-133509</wp:posOffset>
                </wp:positionH>
                <wp:positionV relativeFrom="paragraph">
                  <wp:posOffset>170656</wp:posOffset>
                </wp:positionV>
                <wp:extent cx="764223" cy="262890"/>
                <wp:effectExtent l="2858" t="0" r="20002" b="20003"/>
                <wp:wrapNone/>
                <wp:docPr id="33" name="Flowchart: Alternate Process 33"/>
                <wp:cNvGraphicFramePr/>
                <a:graphic xmlns:a="http://schemas.openxmlformats.org/drawingml/2006/main">
                  <a:graphicData uri="http://schemas.microsoft.com/office/word/2010/wordprocessingShape">
                    <wps:wsp>
                      <wps:cNvSpPr/>
                      <wps:spPr>
                        <a:xfrm rot="16200000">
                          <a:off x="0" y="0"/>
                          <a:ext cx="764223" cy="262890"/>
                        </a:xfrm>
                        <a:prstGeom prst="flowChartAlternateProcess">
                          <a:avLst/>
                        </a:prstGeom>
                        <a:solidFill>
                          <a:schemeClr val="accent5">
                            <a:lumMod val="60000"/>
                            <a:lumOff val="40000"/>
                          </a:schemeClr>
                        </a:solidFill>
                        <a:ln>
                          <a:solidFill>
                            <a:schemeClr val="tx1"/>
                          </a:solidFill>
                        </a:ln>
                      </wps:spPr>
                      <wps:style>
                        <a:lnRef idx="2">
                          <a:schemeClr val="accent4">
                            <a:shade val="50000"/>
                          </a:schemeClr>
                        </a:lnRef>
                        <a:fillRef idx="1">
                          <a:schemeClr val="accent4"/>
                        </a:fillRef>
                        <a:effectRef idx="0">
                          <a:schemeClr val="accent4"/>
                        </a:effectRef>
                        <a:fontRef idx="minor">
                          <a:schemeClr val="lt1"/>
                        </a:fontRef>
                      </wps:style>
                      <wps:txbx>
                        <w:txbxContent>
                          <w:p w14:paraId="5C5DC3BE" w14:textId="77777777" w:rsidR="007377DD" w:rsidRPr="001502CF" w:rsidRDefault="007377DD" w:rsidP="007377DD">
                            <w:pPr>
                              <w:spacing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BC9397" id="Flowchart: Alternate Process 33" o:spid="_x0000_s1038" type="#_x0000_t176" style="position:absolute;left:0;text-align:left;margin-left:-10.5pt;margin-top:13.45pt;width:60.2pt;height:20.7pt;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" fillcolor="#9cc2e5 [1944]" strokecolor="black [3213]" strokeweight="1pt">
                <v:textbox>
                  <w:txbxContent>
                    <w:p w14:paraId="5C5DC3BE" w14:textId="77777777" w:rsidR="007377DD" w:rsidRPr="001502CF" w:rsidRDefault="007377DD" w:rsidP="007377DD">
                      <w:pPr>
                        <w:spacing w:line="240" w:lineRule="auto"/>
                        <w:jc w:val="center"/>
                        <w:rPr>
                          <w:rFonts w:ascii="Arial" w:hAnsi="Arial" w:cs="Arial"/>
                          <w:b/>
                          <w:color w:val="000000" w:themeColor="text1"/>
                          <w:sz w:val="18"/>
                          <w:szCs w:val="18"/>
                        </w:rPr>
                      </w:pPr>
                      <w:r>
                        <w:rPr>
                          <w:rFonts w:ascii="Arial" w:hAnsi="Arial" w:cs="Arial"/>
                          <w:b/>
                          <w:color w:val="000000" w:themeColor="text1"/>
                          <w:sz w:val="18"/>
                          <w:szCs w:val="18"/>
                        </w:rPr>
                        <w:t>Included</w:t>
                      </w:r>
                    </w:p>
                  </w:txbxContent>
                </v:textbox>
              </v:shape>
            </w:pict>
          </mc:Fallback>
        </mc:AlternateContent>
      </w:r>
    </w:p>
    <w:p w14:paraId="6BC3F5A3" w14:textId="77777777" w:rsidR="007377DD" w:rsidRPr="005D612E" w:rsidRDefault="007377DD">
      <w:pPr>
        <w:spacing w:before="40" w:after="40"/>
        <w:rPr>
          <w:rFonts w:ascii="Arial" w:hAnsi="Arial" w:cs="Arial"/>
          <w:color w:val="auto"/>
        </w:rPr>
      </w:pPr>
    </w:p>
    <w:p w14:paraId="2708BFD7" w14:textId="77777777" w:rsidR="007377DD" w:rsidRPr="005D612E" w:rsidRDefault="007377DD">
      <w:pPr>
        <w:spacing w:before="40" w:after="40"/>
        <w:rPr>
          <w:rFonts w:ascii="Arial" w:hAnsi="Arial" w:cs="Arial"/>
          <w:color w:val="auto"/>
        </w:rPr>
      </w:pPr>
    </w:p>
    <w:p w14:paraId="42E3C888" w14:textId="77777777" w:rsidR="007377DD" w:rsidRPr="005D612E" w:rsidRDefault="007377DD">
      <w:pPr>
        <w:spacing w:before="40" w:after="40"/>
        <w:rPr>
          <w:rFonts w:ascii="Arial" w:hAnsi="Arial" w:cs="Arial"/>
          <w:color w:val="auto"/>
        </w:rPr>
      </w:pPr>
    </w:p>
    <w:p w14:paraId="4C50DAB9" w14:textId="12E27155" w:rsidR="007377DD" w:rsidRPr="005D612E" w:rsidRDefault="009D0EEA" w:rsidP="009D0EEA">
      <w:pPr>
        <w:spacing w:before="40" w:after="120"/>
        <w:jc w:val="center"/>
        <w:rPr>
          <w:rFonts w:ascii="Arial" w:hAnsi="Arial" w:cs="Arial"/>
          <w:color w:val="auto"/>
        </w:rPr>
      </w:pPr>
      <w:r w:rsidRPr="005D612E">
        <w:rPr>
          <w:rFonts w:ascii="Arial" w:eastAsia="Calibri" w:hAnsi="Arial" w:cs="Arial"/>
          <w:i/>
          <w:iCs/>
          <w:color w:val="auto"/>
          <w:sz w:val="18"/>
          <w:szCs w:val="18"/>
        </w:rPr>
        <w:t>Note. PRISMA = Preferred Reporting Items for Systematic Reviews and Meta-Analyses (Page et al., 2021).</w:t>
      </w:r>
    </w:p>
    <w:p w14:paraId="40C91202" w14:textId="60BD1CCD" w:rsidR="009D0EEA" w:rsidRPr="005D612E" w:rsidRDefault="009D0EEA">
      <w:pPr>
        <w:spacing w:line="240" w:lineRule="auto"/>
        <w:jc w:val="left"/>
        <w:rPr>
          <w:rFonts w:ascii="Arial" w:hAnsi="Arial" w:cs="Arial"/>
          <w:color w:val="auto"/>
        </w:rPr>
      </w:pPr>
      <w:r w:rsidRPr="005D612E">
        <w:rPr>
          <w:rFonts w:ascii="Arial" w:hAnsi="Arial" w:cs="Arial"/>
          <w:color w:val="auto"/>
        </w:rPr>
        <w:br w:type="page"/>
      </w:r>
    </w:p>
    <w:p w14:paraId="180059BF" w14:textId="77777777" w:rsidR="00765F7C" w:rsidRPr="005D612E" w:rsidRDefault="00000000" w:rsidP="005D612E">
      <w:pPr>
        <w:pStyle w:val="Heading3"/>
      </w:pPr>
      <w:r w:rsidRPr="005D612E">
        <w:t>2.3 Thematic Synthesis</w:t>
      </w:r>
    </w:p>
    <w:p w14:paraId="607FAE88" w14:textId="77777777" w:rsidR="00765F7C" w:rsidRPr="005D612E" w:rsidRDefault="00000000" w:rsidP="00E72C3E">
      <w:pPr>
        <w:rPr>
          <w:rFonts w:ascii="Arial" w:hAnsi="Arial" w:cs="Arial"/>
          <w:color w:val="auto"/>
        </w:rPr>
      </w:pPr>
      <w:r w:rsidRPr="005D612E">
        <w:rPr>
          <w:rFonts w:ascii="Arial" w:hAnsi="Arial" w:cs="Arial"/>
          <w:color w:val="auto"/>
        </w:rPr>
        <w:t>Data extraction was performed using a structured coding template capturing: theoretical/conceptual framework; geographic and institutional context; research design; substantive claims regarding datafication and power; and implications for teacher professionalism, student subjectivity, or governance equity. Analysis followed Thomas and Harden's (2008) three-stage thematic synthesis procedure: (1) line-by-line coding of each source's key claims; (2) development of descriptive themes through constant comparison; and (3) generation of analytical themes through theoretical interrogation and cross-source synthesis. The four analytical themes presented in Section 4 are the product of this third stage: they represent interpretive reconstructions of the field's arguments rather than descriptive summaries.</w:t>
      </w:r>
    </w:p>
    <w:p w14:paraId="72A2C9CC" w14:textId="4F77ACA9" w:rsidR="007B3DE2" w:rsidRPr="005D612E" w:rsidRDefault="007B3DE2" w:rsidP="005D612E">
      <w:pPr>
        <w:pStyle w:val="Heading2"/>
      </w:pPr>
      <w:r w:rsidRPr="005D612E">
        <w:t>3. Bibliometric Analysis of Educational Datafication Research</w:t>
      </w:r>
    </w:p>
    <w:p w14:paraId="767F48E1" w14:textId="028373BB" w:rsidR="002210A2" w:rsidRPr="005D612E" w:rsidRDefault="002210A2" w:rsidP="005D612E">
      <w:pPr>
        <w:pStyle w:val="Heading3"/>
      </w:pPr>
      <w:r w:rsidRPr="005D612E">
        <w:t>3.1 Keyword Co-occurrence Analysis</w:t>
      </w:r>
    </w:p>
    <w:p w14:paraId="0C1BC45F" w14:textId="77777777" w:rsidR="002210A2" w:rsidRPr="005D612E" w:rsidRDefault="002210A2" w:rsidP="002210A2">
      <w:pPr>
        <w:spacing w:before="80" w:after="80" w:line="480" w:lineRule="auto"/>
        <w:rPr>
          <w:rFonts w:ascii="Arial" w:hAnsi="Arial" w:cs="Arial"/>
          <w:color w:val="auto"/>
        </w:rPr>
      </w:pPr>
      <w:r w:rsidRPr="005D612E">
        <w:rPr>
          <w:rFonts w:ascii="Arial" w:hAnsi="Arial" w:cs="Arial"/>
          <w:color w:val="auto"/>
        </w:rPr>
        <w:t>To understand the conceptual structure of the field, we conduct keyword co-occurrence analysis. A co-occurrence network is constructed where nodes represent keywords, edges signify co-occurrence relationships, and edge weights indicate frequency of co-occurrence within the literature body. The analysis covers both author keywords (provided by authors in their articles) and keywords plus (standardised keywords assigned by WoS). Figure 4 presents the co-occurrence networks, and Figure 5 presents the frequency distributions of the top 20 keywords in each category.</w:t>
      </w:r>
    </w:p>
    <w:p w14:paraId="204921E4" w14:textId="10D2A228" w:rsidR="002210A2" w:rsidRPr="005D612E" w:rsidRDefault="002210A2" w:rsidP="002210A2">
      <w:pPr>
        <w:spacing w:before="80" w:after="80" w:line="480" w:lineRule="auto"/>
        <w:rPr>
          <w:rFonts w:ascii="Arial" w:hAnsi="Arial" w:cs="Arial"/>
          <w:color w:val="auto"/>
        </w:rPr>
      </w:pPr>
      <w:r w:rsidRPr="005D612E">
        <w:rPr>
          <w:rFonts w:ascii="Arial" w:hAnsi="Arial" w:cs="Arial"/>
          <w:color w:val="auto"/>
        </w:rPr>
        <w:t>The author keyword co-occurrence network (Figure 4a) reveals four distinct concept clusters: (1) Colonial Knowledge Logics</w:t>
      </w:r>
      <w:r w:rsidR="00536781">
        <w:rPr>
          <w:rFonts w:ascii="Arial" w:hAnsi="Arial" w:cs="Arial"/>
          <w:color w:val="auto"/>
        </w:rPr>
        <w:t>:</w:t>
      </w:r>
      <w:r w:rsidRPr="005D612E">
        <w:rPr>
          <w:rFonts w:ascii="Arial" w:hAnsi="Arial" w:cs="Arial"/>
          <w:color w:val="auto"/>
        </w:rPr>
        <w:t xml:space="preserve"> centred on "data colonialism," "EMIS transfer," "Global South," and "epistemic violence"; (2) Algorithmic Governance</w:t>
      </w:r>
      <w:r w:rsidR="00536781">
        <w:rPr>
          <w:rFonts w:ascii="Arial" w:hAnsi="Arial" w:cs="Arial"/>
          <w:color w:val="auto"/>
        </w:rPr>
        <w:t>:</w:t>
      </w:r>
      <w:r w:rsidRPr="005D612E">
        <w:rPr>
          <w:rFonts w:ascii="Arial" w:hAnsi="Arial" w:cs="Arial"/>
          <w:color w:val="auto"/>
        </w:rPr>
        <w:t xml:space="preserve"> centred on "datafication," "surveillance," "SEMIS," and "AI policy"; (3) Teacher Professionalism</w:t>
      </w:r>
      <w:r w:rsidR="00536781">
        <w:rPr>
          <w:rFonts w:ascii="Arial" w:hAnsi="Arial" w:cs="Arial"/>
          <w:color w:val="auto"/>
        </w:rPr>
        <w:t>:</w:t>
      </w:r>
      <w:r w:rsidRPr="005D612E">
        <w:rPr>
          <w:rFonts w:ascii="Arial" w:hAnsi="Arial" w:cs="Arial"/>
          <w:color w:val="auto"/>
        </w:rPr>
        <w:t xml:space="preserve"> centred on "professional identity," "autonomy," "compliance metrics," and "trust erosion"; and (4) Student Datafication</w:t>
      </w:r>
      <w:r w:rsidR="00536781">
        <w:rPr>
          <w:rFonts w:ascii="Arial" w:hAnsi="Arial" w:cs="Arial"/>
          <w:color w:val="auto"/>
        </w:rPr>
        <w:t>:</w:t>
      </w:r>
      <w:r w:rsidRPr="005D612E">
        <w:rPr>
          <w:rFonts w:ascii="Arial" w:hAnsi="Arial" w:cs="Arial"/>
          <w:color w:val="auto"/>
        </w:rPr>
        <w:t xml:space="preserve"> centred on "data objects," "EMIS profiling," "social sorting," and "agency." The keywords plus network (Figure 4b) reveals four corresponding clusters: Governance &amp; Policy; Data &amp; Technology; Power &amp; Equity; and Education Context. Source data for keyword frequencies are provided in Supplementary Table S4.</w:t>
      </w:r>
    </w:p>
    <w:p w14:paraId="6362E5FF" w14:textId="0C784C3C" w:rsidR="002210A2" w:rsidRPr="005D612E" w:rsidRDefault="002210A2" w:rsidP="002210A2">
      <w:pPr>
        <w:pStyle w:val="Heading2"/>
        <w:rPr>
          <w:rFonts w:cs="Arial"/>
        </w:rPr>
      </w:pPr>
      <w:r w:rsidRPr="005D612E">
        <w:rPr>
          <w:rFonts w:cs="Arial"/>
          <w:noProof/>
        </w:rPr>
        <w:drawing>
          <wp:inline distT="0" distB="0" distL="0" distR="0" wp14:anchorId="5D9CCC9F" wp14:editId="793AB079">
            <wp:extent cx="5731510" cy="2591435"/>
            <wp:effectExtent l="0" t="0" r="2540" b="0"/>
            <wp:docPr id="904073735"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2591435"/>
                    </a:xfrm>
                    <a:prstGeom prst="rect">
                      <a:avLst/>
                    </a:prstGeom>
                    <a:noFill/>
                    <a:ln>
                      <a:noFill/>
                    </a:ln>
                  </pic:spPr>
                </pic:pic>
              </a:graphicData>
            </a:graphic>
          </wp:inline>
        </w:drawing>
      </w:r>
    </w:p>
    <w:p w14:paraId="4AA374C4" w14:textId="77777777" w:rsidR="002210A2" w:rsidRPr="005D612E" w:rsidRDefault="002210A2" w:rsidP="002210A2">
      <w:pPr>
        <w:spacing w:before="50" w:after="100"/>
        <w:jc w:val="center"/>
        <w:rPr>
          <w:rFonts w:ascii="Arial" w:hAnsi="Arial" w:cs="Arial"/>
          <w:color w:val="auto"/>
        </w:rPr>
      </w:pPr>
      <w:r w:rsidRPr="005D612E">
        <w:rPr>
          <w:rFonts w:ascii="Arial" w:eastAsia="Calibri" w:hAnsi="Arial" w:cs="Arial"/>
          <w:b/>
          <w:bCs/>
          <w:color w:val="auto"/>
          <w:sz w:val="20"/>
          <w:szCs w:val="20"/>
        </w:rPr>
        <w:t>Fig. 4.  Keyword Co-occurrence Networks.  (a) Author Keywords co-occurrence network showing four concept clusters. (b) Keywords Plus co-occurrence network.</w:t>
      </w:r>
    </w:p>
    <w:p w14:paraId="32927010" w14:textId="29A3FA34" w:rsidR="005D612E" w:rsidRDefault="005D612E" w:rsidP="005D612E">
      <w:pPr>
        <w:pStyle w:val="Heading2"/>
      </w:pPr>
      <w:r>
        <w:t xml:space="preserve">4. </w:t>
      </w:r>
      <w:r w:rsidRPr="005D612E">
        <w:t>Theoretical Framework: Datafied Coloniality in Education (DCE)</w:t>
      </w:r>
    </w:p>
    <w:p w14:paraId="507F0CF6" w14:textId="1685300B" w:rsidR="00765F7C" w:rsidRPr="005D612E" w:rsidRDefault="00000000" w:rsidP="009D0EEA">
      <w:pPr>
        <w:rPr>
          <w:rFonts w:ascii="Arial" w:hAnsi="Arial" w:cs="Arial"/>
          <w:color w:val="auto"/>
        </w:rPr>
      </w:pPr>
      <w:r w:rsidRPr="005D612E">
        <w:rPr>
          <w:rFonts w:ascii="Arial" w:hAnsi="Arial" w:cs="Arial"/>
          <w:color w:val="auto"/>
        </w:rPr>
        <w:t>We propose Datafied Coloniality in Education (DCE) as an original integrative framework to organise and interpret the synthesis. DCE draws on three theoretical traditions, Foucauldian algorithmic governmentality, postcolonial education theory, and sociotechnical systems perspectives, whose integration has not previously been achieved in the educational datafication literature.</w:t>
      </w:r>
    </w:p>
    <w:p w14:paraId="352124F7" w14:textId="77777777" w:rsidR="00765F7C" w:rsidRPr="005D612E" w:rsidRDefault="00000000" w:rsidP="005D612E">
      <w:pPr>
        <w:pStyle w:val="Heading3"/>
      </w:pPr>
      <w:r w:rsidRPr="005D612E">
        <w:t>4.1 Algorithmic Governmentality</w:t>
      </w:r>
    </w:p>
    <w:p w14:paraId="5393EB46" w14:textId="4ED3BB8B" w:rsidR="00765F7C" w:rsidRPr="005D612E" w:rsidRDefault="00000000" w:rsidP="003E13B8">
      <w:pPr>
        <w:rPr>
          <w:rFonts w:ascii="Arial" w:hAnsi="Arial" w:cs="Arial"/>
          <w:color w:val="auto"/>
        </w:rPr>
      </w:pPr>
      <w:r w:rsidRPr="005D612E">
        <w:rPr>
          <w:rFonts w:ascii="Arial" w:hAnsi="Arial" w:cs="Arial"/>
          <w:color w:val="auto"/>
        </w:rPr>
        <w:t>Foucault's (1991) concept of governmentality, the collective practices through which subjects are rendered calculable, governable, and self-regulating, has been productively extended to algorithmic and data-driven governance (Rouvroy &amp; Berns, 2013). In this framework, datafication is not a neutral technical process but a political one: it establishes particular forms of knowledge as authoritative, renders specific institutional subjects visible and actionable, and simultaneously renders others invisible. Hu et al. (2025) document how AI surveillance in education produces 'post-panoptic' subjectivities, in which teachers and students internalise algorithmic norms as self-regulating professional behaviour even in the absence of direct coercive monitoring. Pesek (2026) extends this by demonstrating that AI functions as a transversal governance actor that simultaneously centralises institutional control while decentralising accountability for outcomes to school leaders and teachers, a structural arrangement that intensifies surveillance while systematically blurring lines of accountability.</w:t>
      </w:r>
    </w:p>
    <w:p w14:paraId="6CB5CA92" w14:textId="77777777" w:rsidR="00765F7C" w:rsidRPr="005D612E" w:rsidRDefault="00000000" w:rsidP="005D612E">
      <w:pPr>
        <w:pStyle w:val="Heading3"/>
      </w:pPr>
      <w:r w:rsidRPr="005D612E">
        <w:t>4.2 Postcolonial Education Theory and Data Coloniality</w:t>
      </w:r>
    </w:p>
    <w:p w14:paraId="152943B2" w14:textId="6D9B428F" w:rsidR="00765F7C" w:rsidRPr="005D612E" w:rsidRDefault="00000000" w:rsidP="009D0EEA">
      <w:pPr>
        <w:rPr>
          <w:rFonts w:ascii="Arial" w:hAnsi="Arial" w:cs="Arial"/>
          <w:color w:val="auto"/>
        </w:rPr>
      </w:pPr>
      <w:r w:rsidRPr="005D612E">
        <w:rPr>
          <w:rFonts w:ascii="Arial" w:hAnsi="Arial" w:cs="Arial"/>
          <w:color w:val="auto"/>
        </w:rPr>
        <w:t xml:space="preserve">Data colonialism, as theorised by Couldry and Mejias (2019), identifies a new phase of colonial accumulation in which social relations are appropriated as the raw material for data extraction and capitalist value production. Gray (2023) and Ricaurte (2019) have developed historicised, geopolitically differentiated accounts of these colonial processes in datafication contexts. This work extends a longer decolonial tradition, most notably Mignolo's (2011) account of the "darker side" of Western modernity, in which the imposition of a single, universalised epistemic standard is itself the mechanism through which colonial power is exercised and reproduced. Within education specifically, postcolonial scholars demonstrate how globally circulating educational technologies arrive in Global South schooling systems carrying assumptions about institutional infrastructure, teacher professionalism, and student capacity that are structurally incompatible with local conditions (Thomas et al., 2023; Tikly, 2020). </w:t>
      </w:r>
    </w:p>
    <w:p w14:paraId="6B16B27E" w14:textId="77777777" w:rsidR="00765F7C" w:rsidRPr="005D612E" w:rsidRDefault="00000000" w:rsidP="005D612E">
      <w:pPr>
        <w:pStyle w:val="Heading3"/>
      </w:pPr>
      <w:r w:rsidRPr="005D612E">
        <w:t>4.3 Sociotechnical Systems Perspectives</w:t>
      </w:r>
    </w:p>
    <w:p w14:paraId="60CA79C4" w14:textId="7A81E554" w:rsidR="00765F7C" w:rsidRPr="005D612E" w:rsidRDefault="00000000" w:rsidP="00E72C3E">
      <w:pPr>
        <w:rPr>
          <w:rFonts w:ascii="Arial" w:hAnsi="Arial" w:cs="Arial"/>
          <w:color w:val="auto"/>
        </w:rPr>
      </w:pPr>
      <w:r w:rsidRPr="005D612E">
        <w:rPr>
          <w:rFonts w:ascii="Arial" w:hAnsi="Arial" w:cs="Arial"/>
          <w:color w:val="auto"/>
        </w:rPr>
        <w:t>Science and Technology Studies (STS), particularly the sociotechnical systems analysis developed by Bijker et al. (1987) and extended by Orlikowski (2007), contends that technologies and social structures are mutually constitutive. Technologies embed values, assumptions, and social arrangements that are enacted differently depending on the institutional contexts of deployment. This perspective is essential for understanding why identical datafied governance tools, school EMIS, an AI-assisted performance and dashboard, produce qualitatively different governance effects in a well-resourced urban school with professionally autonomous teachers and in a chronically under-resourced rural government school where teachers operate under precarious employment, inadequate infrastructure, and intensified bureaucratic pressure.</w:t>
      </w:r>
    </w:p>
    <w:p w14:paraId="52AE46EB" w14:textId="77777777" w:rsidR="00765F7C" w:rsidRPr="005D612E" w:rsidRDefault="00000000" w:rsidP="005D612E">
      <w:pPr>
        <w:pStyle w:val="Heading3"/>
      </w:pPr>
      <w:r w:rsidRPr="005D612E">
        <w:t>4.4 The DCE Framework: Three Mechanisms</w:t>
      </w:r>
    </w:p>
    <w:p w14:paraId="02E382BC" w14:textId="77777777" w:rsidR="00765F7C" w:rsidRPr="005D612E" w:rsidRDefault="00000000">
      <w:pPr>
        <w:spacing w:before="80" w:after="80" w:line="480" w:lineRule="auto"/>
        <w:rPr>
          <w:rFonts w:ascii="Arial" w:hAnsi="Arial" w:cs="Arial"/>
          <w:color w:val="auto"/>
        </w:rPr>
      </w:pPr>
      <w:r w:rsidRPr="005D612E">
        <w:rPr>
          <w:rFonts w:ascii="Arial" w:hAnsi="Arial" w:cs="Arial"/>
          <w:color w:val="auto"/>
        </w:rPr>
        <w:t>DCE integrates these strands by arguing that when datafied governance technologies designed for and in Global North educational contexts are transferred to Global South under-resourced school systems, they reproduce colonial logics of knowledge, power, and subjectivity through three analytically distinct mechanisms:</w:t>
      </w:r>
    </w:p>
    <w:p w14:paraId="6D1B2635" w14:textId="77777777" w:rsidR="00765F7C" w:rsidRPr="005D612E" w:rsidRDefault="00000000" w:rsidP="005D612E">
      <w:pPr>
        <w:pStyle w:val="ListParagraph"/>
        <w:numPr>
          <w:ilvl w:val="0"/>
          <w:numId w:val="2"/>
        </w:numPr>
        <w:jc w:val="both"/>
        <w:rPr>
          <w:rFonts w:ascii="Arial" w:hAnsi="Arial" w:cs="Arial"/>
          <w:color w:val="auto"/>
        </w:rPr>
      </w:pPr>
      <w:r w:rsidRPr="005D612E">
        <w:rPr>
          <w:rFonts w:ascii="Arial" w:hAnsi="Arial" w:cs="Arial"/>
          <w:b/>
          <w:bCs/>
          <w:color w:val="auto"/>
        </w:rPr>
        <w:t>Epistemic Appropriation</w:t>
      </w:r>
      <w:r w:rsidRPr="005D612E">
        <w:rPr>
          <w:rFonts w:ascii="Arial" w:hAnsi="Arial" w:cs="Arial"/>
          <w:color w:val="auto"/>
        </w:rPr>
        <w:t>: Algorithmic and numerical outputs are positioned as objectively superior to the contextually embedded, relational knowledge that experienced teachers in under-resourced settings deploy. Teacher professional judgment is delegitimised not through direct critique but through the structural displacement of its epistemic authority by the data system's outputs.</w:t>
      </w:r>
    </w:p>
    <w:p w14:paraId="4595BD23" w14:textId="6A72EC89" w:rsidR="00765F7C" w:rsidRPr="005D612E" w:rsidRDefault="00000000" w:rsidP="00C82923">
      <w:pPr>
        <w:pStyle w:val="ListParagraph"/>
        <w:numPr>
          <w:ilvl w:val="0"/>
          <w:numId w:val="2"/>
        </w:numPr>
        <w:jc w:val="both"/>
        <w:rPr>
          <w:rFonts w:ascii="Arial" w:hAnsi="Arial" w:cs="Arial"/>
          <w:color w:val="auto"/>
        </w:rPr>
      </w:pPr>
      <w:r w:rsidRPr="005D612E">
        <w:rPr>
          <w:rFonts w:ascii="Arial" w:hAnsi="Arial" w:cs="Arial"/>
          <w:b/>
          <w:bCs/>
          <w:color w:val="auto"/>
        </w:rPr>
        <w:t>Structural Amplification</w:t>
      </w:r>
      <w:r w:rsidRPr="005D612E">
        <w:rPr>
          <w:rFonts w:ascii="Arial" w:hAnsi="Arial" w:cs="Arial"/>
          <w:color w:val="auto"/>
        </w:rPr>
        <w:t>: Power asymmetries already constitutive of under-resourced schooling contexts are amplified and naturalised by datafied surveillance systems. The monitoring apparatus does not create inequality; it renders existing inequalities technically legible and thereby more resistant to contestation.</w:t>
      </w:r>
    </w:p>
    <w:p w14:paraId="50FAC64B" w14:textId="20688829" w:rsidR="00765F7C" w:rsidRPr="005D612E" w:rsidRDefault="00000000" w:rsidP="00D56A07">
      <w:pPr>
        <w:pStyle w:val="ListParagraph"/>
        <w:numPr>
          <w:ilvl w:val="0"/>
          <w:numId w:val="2"/>
        </w:numPr>
        <w:spacing w:after="80"/>
        <w:jc w:val="both"/>
        <w:rPr>
          <w:rFonts w:ascii="Arial" w:hAnsi="Arial" w:cs="Arial"/>
          <w:color w:val="auto"/>
        </w:rPr>
      </w:pPr>
      <w:r w:rsidRPr="005D612E">
        <w:rPr>
          <w:rFonts w:ascii="Arial" w:hAnsi="Arial" w:cs="Arial"/>
          <w:b/>
          <w:bCs/>
          <w:color w:val="auto"/>
        </w:rPr>
        <w:t>Subject Formation</w:t>
      </w:r>
      <w:r w:rsidRPr="005D612E">
        <w:rPr>
          <w:rFonts w:ascii="Arial" w:hAnsi="Arial" w:cs="Arial"/>
          <w:color w:val="auto"/>
        </w:rPr>
        <w:t>: Teachers are interpellated as data producers whose professional value is legible only through numerical compliance metrics, rather than as epistemic agents with legitimate professional authority. Students are similarly constituted as data sources representing institutional performance rather than as pedagogical subjects with complex, contextually-situated learning needs.</w:t>
      </w:r>
    </w:p>
    <w:p w14:paraId="3F9610ED" w14:textId="65F5045D" w:rsidR="00765F7C" w:rsidRPr="005D612E" w:rsidRDefault="00D56A07" w:rsidP="00C82923">
      <w:pPr>
        <w:spacing w:before="60" w:after="30"/>
        <w:rPr>
          <w:rFonts w:ascii="Arial" w:hAnsi="Arial" w:cs="Arial"/>
          <w:color w:val="auto"/>
        </w:rPr>
      </w:pPr>
      <w:r w:rsidRPr="005D612E">
        <w:rPr>
          <w:rFonts w:ascii="Arial" w:hAnsi="Arial" w:cs="Arial"/>
          <w:noProof/>
          <w:color w:val="auto"/>
        </w:rPr>
        <w:drawing>
          <wp:anchor distT="0" distB="0" distL="114300" distR="114300" simplePos="0" relativeHeight="251680768" behindDoc="0" locked="0" layoutInCell="1" allowOverlap="1" wp14:anchorId="0FD7192B" wp14:editId="419C1A1F">
            <wp:simplePos x="0" y="0"/>
            <wp:positionH relativeFrom="margin">
              <wp:align>right</wp:align>
            </wp:positionH>
            <wp:positionV relativeFrom="paragraph">
              <wp:posOffset>247015</wp:posOffset>
            </wp:positionV>
            <wp:extent cx="5731510" cy="3561715"/>
            <wp:effectExtent l="0" t="0" r="2540" b="635"/>
            <wp:wrapSquare wrapText="bothSides"/>
            <wp:docPr id="864603070"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t="6781"/>
                    <a:stretch>
                      <a:fillRect/>
                    </a:stretch>
                  </pic:blipFill>
                  <pic:spPr bwMode="auto">
                    <a:xfrm>
                      <a:off x="0" y="0"/>
                      <a:ext cx="5731510" cy="3561715"/>
                    </a:xfrm>
                    <a:prstGeom prst="rect">
                      <a:avLst/>
                    </a:prstGeom>
                    <a:noFill/>
                    <a:ln>
                      <a:noFill/>
                    </a:ln>
                    <a:extLst>
                      <a:ext uri="{53640926-AAD7-44D8-BBD7-CCE9431645EC}">
                        <a14:shadowObscured xmlns:a14="http://schemas.microsoft.com/office/drawing/2010/main"/>
                      </a:ext>
                    </a:extLst>
                  </pic:spPr>
                </pic:pic>
              </a:graphicData>
            </a:graphic>
          </wp:anchor>
        </w:drawing>
      </w:r>
      <w:r w:rsidRPr="005D612E">
        <w:rPr>
          <w:rFonts w:ascii="Arial" w:eastAsia="Calibri" w:hAnsi="Arial" w:cs="Arial"/>
          <w:b/>
          <w:bCs/>
          <w:color w:val="auto"/>
        </w:rPr>
        <w:t>Figure 2. The Datafied Coloniality in Education (DCE) Conceptual Framework</w:t>
      </w:r>
    </w:p>
    <w:p w14:paraId="05F63404" w14:textId="77777777" w:rsidR="00E72C3E" w:rsidRPr="005D612E" w:rsidRDefault="00D56A07">
      <w:pPr>
        <w:spacing w:line="240" w:lineRule="auto"/>
        <w:jc w:val="left"/>
        <w:rPr>
          <w:rFonts w:ascii="Arial" w:hAnsi="Arial" w:cs="Arial"/>
          <w:color w:val="auto"/>
        </w:rPr>
        <w:sectPr w:rsidR="00E72C3E" w:rsidRPr="005D612E">
          <w:pgSz w:w="11906" w:h="16838"/>
          <w:pgMar w:top="1440" w:right="1440" w:bottom="1440" w:left="1440" w:header="708" w:footer="708" w:gutter="0"/>
          <w:cols w:space="720"/>
          <w:docGrid w:linePitch="360"/>
        </w:sectPr>
      </w:pPr>
      <w:r w:rsidRPr="005D612E">
        <w:rPr>
          <w:rFonts w:ascii="Arial" w:hAnsi="Arial" w:cs="Arial"/>
          <w:color w:val="auto"/>
        </w:rPr>
        <w:br w:type="page"/>
      </w:r>
    </w:p>
    <w:p w14:paraId="6E8CAEF4" w14:textId="57E57340" w:rsidR="005D612E" w:rsidRDefault="005D612E" w:rsidP="005D612E">
      <w:pPr>
        <w:pStyle w:val="Heading2"/>
      </w:pPr>
      <w:r>
        <w:t xml:space="preserve">5. </w:t>
      </w:r>
      <w:r w:rsidRPr="005D612E">
        <w:t>Literature Synthesis: Included Studies</w:t>
      </w:r>
    </w:p>
    <w:p w14:paraId="76B72446" w14:textId="30209F51" w:rsidR="00765F7C" w:rsidRPr="005D612E" w:rsidRDefault="00000000" w:rsidP="00D56A07">
      <w:pPr>
        <w:rPr>
          <w:rFonts w:ascii="Arial" w:hAnsi="Arial" w:cs="Arial"/>
          <w:color w:val="auto"/>
        </w:rPr>
      </w:pPr>
      <w:r w:rsidRPr="005D612E">
        <w:rPr>
          <w:rFonts w:ascii="Arial" w:hAnsi="Arial" w:cs="Arial"/>
          <w:color w:val="auto"/>
        </w:rPr>
        <w:t>Table 1 presents the synthesis of all 42 studies included in the review, organised alphabetically by first author. Each entry reports the study's major findings, its stated or inferable limitations, and the directions for future research it identifies. Taken together, this corpus constitutes the empirical and theoretical foundation of the review's analytical themes (Section 5).</w:t>
      </w:r>
    </w:p>
    <w:p w14:paraId="6AF78E8F" w14:textId="77777777" w:rsidR="00765F7C" w:rsidRPr="005D612E" w:rsidRDefault="00000000" w:rsidP="00D56A07">
      <w:pPr>
        <w:spacing w:before="60" w:after="30"/>
        <w:rPr>
          <w:rFonts w:ascii="Arial" w:hAnsi="Arial" w:cs="Arial"/>
          <w:color w:val="auto"/>
        </w:rPr>
      </w:pPr>
      <w:r w:rsidRPr="005D612E">
        <w:rPr>
          <w:rFonts w:ascii="Arial" w:eastAsia="Calibri" w:hAnsi="Arial" w:cs="Arial"/>
          <w:b/>
          <w:bCs/>
          <w:color w:val="auto"/>
        </w:rPr>
        <w:t>Table 1. Synthesis of Included Studies: Authors, Findings, Limitations, and Future Research Directions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190"/>
        <w:gridCol w:w="602"/>
        <w:gridCol w:w="1440"/>
        <w:gridCol w:w="2395"/>
        <w:gridCol w:w="1789"/>
        <w:gridCol w:w="1600"/>
      </w:tblGrid>
      <w:tr w:rsidR="00765F7C" w:rsidRPr="005D612E" w14:paraId="023D2F11" w14:textId="77777777" w:rsidTr="005D612E">
        <w:trPr>
          <w:cantSplit/>
          <w:trHeight w:val="432"/>
          <w:tblHeader/>
        </w:trPr>
        <w:tc>
          <w:tcPr>
            <w:tcW w:w="0" w:type="auto"/>
            <w:tcBorders>
              <w:top w:val="single" w:sz="4" w:space="0" w:color="1A2E4A"/>
              <w:left w:val="single" w:sz="4" w:space="0" w:color="1A2E4A"/>
              <w:bottom w:val="single" w:sz="4" w:space="0" w:color="1A2E4A"/>
              <w:right w:val="single" w:sz="4" w:space="0" w:color="1A2E4A"/>
            </w:tcBorders>
            <w:shd w:val="clear" w:color="auto" w:fill="1F3864"/>
            <w:tcMar>
              <w:top w:w="80" w:type="dxa"/>
              <w:left w:w="140" w:type="dxa"/>
              <w:bottom w:w="80" w:type="dxa"/>
              <w:right w:w="140" w:type="dxa"/>
            </w:tcMar>
            <w:vAlign w:val="center"/>
          </w:tcPr>
          <w:p w14:paraId="3624EAFA" w14:textId="77777777" w:rsidR="00765F7C" w:rsidRPr="005D612E" w:rsidRDefault="00000000" w:rsidP="005D612E">
            <w:pPr>
              <w:jc w:val="center"/>
              <w:rPr>
                <w:rFonts w:ascii="Arial" w:hAnsi="Arial" w:cs="Arial"/>
                <w:color w:val="auto"/>
              </w:rPr>
            </w:pPr>
            <w:r w:rsidRPr="005D612E">
              <w:rPr>
                <w:rFonts w:ascii="Arial" w:eastAsia="Calibri" w:hAnsi="Arial" w:cs="Arial"/>
                <w:b/>
                <w:bCs/>
                <w:color w:val="auto"/>
                <w:sz w:val="20"/>
                <w:szCs w:val="20"/>
              </w:rPr>
              <w:t>Author(s)</w:t>
            </w:r>
          </w:p>
        </w:tc>
        <w:tc>
          <w:tcPr>
            <w:tcW w:w="793" w:type="dxa"/>
            <w:tcBorders>
              <w:top w:val="single" w:sz="4" w:space="0" w:color="1A2E4A"/>
              <w:left w:val="single" w:sz="4" w:space="0" w:color="1A2E4A"/>
              <w:bottom w:val="single" w:sz="4" w:space="0" w:color="1A2E4A"/>
              <w:right w:val="single" w:sz="4" w:space="0" w:color="1A2E4A"/>
            </w:tcBorders>
            <w:shd w:val="clear" w:color="auto" w:fill="1F3864"/>
            <w:tcMar>
              <w:top w:w="80" w:type="dxa"/>
              <w:left w:w="140" w:type="dxa"/>
              <w:bottom w:w="80" w:type="dxa"/>
              <w:right w:w="140" w:type="dxa"/>
            </w:tcMar>
            <w:textDirection w:val="btLr"/>
            <w:vAlign w:val="center"/>
          </w:tcPr>
          <w:p w14:paraId="4157495E" w14:textId="77777777" w:rsidR="00765F7C" w:rsidRPr="005D612E" w:rsidRDefault="00000000" w:rsidP="005D612E">
            <w:pPr>
              <w:ind w:left="113" w:right="113"/>
              <w:jc w:val="center"/>
              <w:rPr>
                <w:rFonts w:ascii="Arial" w:hAnsi="Arial" w:cs="Arial"/>
                <w:color w:val="auto"/>
              </w:rPr>
            </w:pPr>
            <w:r w:rsidRPr="005D612E">
              <w:rPr>
                <w:rFonts w:ascii="Arial" w:eastAsia="Calibri" w:hAnsi="Arial" w:cs="Arial"/>
                <w:b/>
                <w:bCs/>
                <w:color w:val="auto"/>
                <w:sz w:val="20"/>
                <w:szCs w:val="20"/>
              </w:rPr>
              <w:t>Year</w:t>
            </w:r>
          </w:p>
        </w:tc>
        <w:tc>
          <w:tcPr>
            <w:tcW w:w="1301" w:type="dxa"/>
            <w:tcBorders>
              <w:top w:val="single" w:sz="4" w:space="0" w:color="1A2E4A"/>
              <w:left w:val="single" w:sz="4" w:space="0" w:color="1A2E4A"/>
              <w:bottom w:val="single" w:sz="4" w:space="0" w:color="1A2E4A"/>
              <w:right w:val="single" w:sz="4" w:space="0" w:color="1A2E4A"/>
            </w:tcBorders>
            <w:shd w:val="clear" w:color="auto" w:fill="1F3864"/>
            <w:tcMar>
              <w:top w:w="80" w:type="dxa"/>
              <w:left w:w="140" w:type="dxa"/>
              <w:bottom w:w="80" w:type="dxa"/>
              <w:right w:w="140" w:type="dxa"/>
            </w:tcMar>
            <w:vAlign w:val="center"/>
          </w:tcPr>
          <w:p w14:paraId="4CA67F1A" w14:textId="77777777" w:rsidR="00765F7C" w:rsidRPr="005D612E" w:rsidRDefault="00000000" w:rsidP="005D612E">
            <w:pPr>
              <w:jc w:val="center"/>
              <w:rPr>
                <w:rFonts w:ascii="Arial" w:hAnsi="Arial" w:cs="Arial"/>
                <w:color w:val="auto"/>
              </w:rPr>
            </w:pPr>
            <w:r w:rsidRPr="005D612E">
              <w:rPr>
                <w:rFonts w:ascii="Arial" w:eastAsia="Calibri" w:hAnsi="Arial" w:cs="Arial"/>
                <w:b/>
                <w:bCs/>
                <w:color w:val="auto"/>
                <w:sz w:val="20"/>
                <w:szCs w:val="20"/>
              </w:rPr>
              <w:t>Title</w:t>
            </w:r>
          </w:p>
        </w:tc>
        <w:tc>
          <w:tcPr>
            <w:tcW w:w="0" w:type="auto"/>
            <w:tcBorders>
              <w:top w:val="single" w:sz="4" w:space="0" w:color="1A2E4A"/>
              <w:left w:val="single" w:sz="4" w:space="0" w:color="1A2E4A"/>
              <w:bottom w:val="single" w:sz="4" w:space="0" w:color="1A2E4A"/>
              <w:right w:val="single" w:sz="4" w:space="0" w:color="1A2E4A"/>
            </w:tcBorders>
            <w:shd w:val="clear" w:color="auto" w:fill="1F3864"/>
            <w:tcMar>
              <w:top w:w="80" w:type="dxa"/>
              <w:left w:w="140" w:type="dxa"/>
              <w:bottom w:w="80" w:type="dxa"/>
              <w:right w:w="140" w:type="dxa"/>
            </w:tcMar>
            <w:vAlign w:val="center"/>
          </w:tcPr>
          <w:p w14:paraId="2A66EE20" w14:textId="77777777" w:rsidR="00765F7C" w:rsidRPr="005D612E" w:rsidRDefault="00000000" w:rsidP="005D612E">
            <w:pPr>
              <w:jc w:val="center"/>
              <w:rPr>
                <w:rFonts w:ascii="Arial" w:hAnsi="Arial" w:cs="Arial"/>
                <w:color w:val="auto"/>
              </w:rPr>
            </w:pPr>
            <w:r w:rsidRPr="005D612E">
              <w:rPr>
                <w:rFonts w:ascii="Arial" w:eastAsia="Calibri" w:hAnsi="Arial" w:cs="Arial"/>
                <w:b/>
                <w:bCs/>
                <w:color w:val="auto"/>
                <w:sz w:val="20"/>
                <w:szCs w:val="20"/>
              </w:rPr>
              <w:t>Major Findings</w:t>
            </w:r>
          </w:p>
        </w:tc>
        <w:tc>
          <w:tcPr>
            <w:tcW w:w="0" w:type="auto"/>
            <w:tcBorders>
              <w:top w:val="single" w:sz="4" w:space="0" w:color="1A2E4A"/>
              <w:left w:val="single" w:sz="4" w:space="0" w:color="1A2E4A"/>
              <w:bottom w:val="single" w:sz="4" w:space="0" w:color="1A2E4A"/>
              <w:right w:val="single" w:sz="4" w:space="0" w:color="1A2E4A"/>
            </w:tcBorders>
            <w:shd w:val="clear" w:color="auto" w:fill="1F3864"/>
            <w:tcMar>
              <w:top w:w="80" w:type="dxa"/>
              <w:left w:w="140" w:type="dxa"/>
              <w:bottom w:w="80" w:type="dxa"/>
              <w:right w:w="140" w:type="dxa"/>
            </w:tcMar>
            <w:vAlign w:val="center"/>
          </w:tcPr>
          <w:p w14:paraId="49CA07C2" w14:textId="77777777" w:rsidR="00765F7C" w:rsidRPr="005D612E" w:rsidRDefault="00000000" w:rsidP="005D612E">
            <w:pPr>
              <w:jc w:val="center"/>
              <w:rPr>
                <w:rFonts w:ascii="Arial" w:hAnsi="Arial" w:cs="Arial"/>
                <w:color w:val="auto"/>
              </w:rPr>
            </w:pPr>
            <w:r w:rsidRPr="005D612E">
              <w:rPr>
                <w:rFonts w:ascii="Arial" w:eastAsia="Calibri" w:hAnsi="Arial" w:cs="Arial"/>
                <w:b/>
                <w:bCs/>
                <w:color w:val="auto"/>
                <w:sz w:val="20"/>
                <w:szCs w:val="20"/>
              </w:rPr>
              <w:t>Limitations</w:t>
            </w:r>
          </w:p>
        </w:tc>
        <w:tc>
          <w:tcPr>
            <w:tcW w:w="0" w:type="auto"/>
            <w:tcBorders>
              <w:top w:val="single" w:sz="4" w:space="0" w:color="1A2E4A"/>
              <w:left w:val="single" w:sz="4" w:space="0" w:color="1A2E4A"/>
              <w:bottom w:val="single" w:sz="4" w:space="0" w:color="1A2E4A"/>
              <w:right w:val="single" w:sz="4" w:space="0" w:color="1A2E4A"/>
            </w:tcBorders>
            <w:shd w:val="clear" w:color="auto" w:fill="1F3864"/>
            <w:tcMar>
              <w:top w:w="80" w:type="dxa"/>
              <w:left w:w="140" w:type="dxa"/>
              <w:bottom w:w="80" w:type="dxa"/>
              <w:right w:w="140" w:type="dxa"/>
            </w:tcMar>
            <w:vAlign w:val="center"/>
          </w:tcPr>
          <w:p w14:paraId="669877EA" w14:textId="77777777" w:rsidR="00765F7C" w:rsidRPr="005D612E" w:rsidRDefault="00000000" w:rsidP="005D612E">
            <w:pPr>
              <w:jc w:val="center"/>
              <w:rPr>
                <w:rFonts w:ascii="Arial" w:hAnsi="Arial" w:cs="Arial"/>
                <w:color w:val="auto"/>
              </w:rPr>
            </w:pPr>
            <w:r w:rsidRPr="005D612E">
              <w:rPr>
                <w:rFonts w:ascii="Arial" w:eastAsia="Calibri" w:hAnsi="Arial" w:cs="Arial"/>
                <w:b/>
                <w:bCs/>
                <w:color w:val="auto"/>
                <w:sz w:val="20"/>
                <w:szCs w:val="20"/>
              </w:rPr>
              <w:t>Future Studies</w:t>
            </w:r>
          </w:p>
        </w:tc>
      </w:tr>
      <w:tr w:rsidR="00765F7C" w:rsidRPr="005D612E" w14:paraId="270532C4"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359EB3B3"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Bradbury, A.</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2460BA16"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2019</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2DCFB296" w14:textId="77573B49" w:rsidR="00765F7C" w:rsidRPr="005D612E" w:rsidRDefault="0036583C">
            <w:pPr>
              <w:rPr>
                <w:rFonts w:ascii="Arial" w:hAnsi="Arial" w:cs="Arial"/>
                <w:color w:val="auto"/>
              </w:rPr>
            </w:pPr>
            <w:r w:rsidRPr="005D612E">
              <w:rPr>
                <w:rFonts w:ascii="Arial" w:hAnsi="Arial" w:cs="Arial"/>
                <w:i/>
                <w:iCs/>
                <w:color w:val="auto"/>
                <w:sz w:val="18"/>
                <w:szCs w:val="18"/>
              </w:rPr>
              <w:t>Datafied at four: the role of data in the ‘schoolification’ of early childhood education in England</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403011B" w14:textId="77777777" w:rsidR="00765F7C" w:rsidRPr="005D612E" w:rsidRDefault="00000000">
            <w:pPr>
              <w:rPr>
                <w:rFonts w:ascii="Arial" w:hAnsi="Arial" w:cs="Arial"/>
                <w:color w:val="auto"/>
              </w:rPr>
            </w:pPr>
            <w:r w:rsidRPr="005D612E">
              <w:rPr>
                <w:rFonts w:ascii="Arial" w:hAnsi="Arial" w:cs="Arial"/>
                <w:color w:val="auto"/>
                <w:sz w:val="18"/>
                <w:szCs w:val="18"/>
              </w:rPr>
              <w:t>Datafication of early childhood education produces a 'data-led curriculum,' orienting teachers' pedagogical decisions toward assessable data outputs rather than child learning needs.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24E2FC4" w14:textId="1333851C" w:rsidR="00765F7C" w:rsidRPr="005D612E" w:rsidRDefault="00000000">
            <w:pPr>
              <w:rPr>
                <w:rFonts w:ascii="Arial" w:hAnsi="Arial" w:cs="Arial"/>
                <w:color w:val="auto"/>
              </w:rPr>
            </w:pPr>
            <w:r w:rsidRPr="005D612E">
              <w:rPr>
                <w:rFonts w:ascii="Arial" w:hAnsi="Arial" w:cs="Arial"/>
                <w:color w:val="auto"/>
                <w:sz w:val="18"/>
                <w:szCs w:val="18"/>
              </w:rPr>
              <w:t>UK context only; early childhood focus; teachers' active navigation/resistance undertheorized.</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C8B4C92" w14:textId="77777777" w:rsidR="00765F7C" w:rsidRPr="005D612E" w:rsidRDefault="00000000">
            <w:pPr>
              <w:rPr>
                <w:rFonts w:ascii="Arial" w:hAnsi="Arial" w:cs="Arial"/>
                <w:color w:val="auto"/>
              </w:rPr>
            </w:pPr>
            <w:r w:rsidRPr="005D612E">
              <w:rPr>
                <w:rFonts w:ascii="Arial" w:hAnsi="Arial" w:cs="Arial"/>
                <w:color w:val="auto"/>
                <w:sz w:val="18"/>
                <w:szCs w:val="18"/>
              </w:rPr>
              <w:t>Comparative studies across countries and age phases; teacher agency in datafied early years settings.</w:t>
            </w:r>
          </w:p>
        </w:tc>
      </w:tr>
      <w:tr w:rsidR="00765F7C" w:rsidRPr="005D612E" w14:paraId="41417133"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0D7945C0"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Bradbury, A., &amp; Roberts-Holmes, G.</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0075813D"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2017</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36EBB443" w14:textId="77777777" w:rsidR="00765F7C" w:rsidRPr="005D612E" w:rsidRDefault="00000000">
            <w:pPr>
              <w:rPr>
                <w:rFonts w:ascii="Arial" w:hAnsi="Arial" w:cs="Arial"/>
                <w:color w:val="auto"/>
              </w:rPr>
            </w:pPr>
            <w:r w:rsidRPr="005D612E">
              <w:rPr>
                <w:rFonts w:ascii="Arial" w:hAnsi="Arial" w:cs="Arial"/>
                <w:i/>
                <w:iCs/>
                <w:color w:val="auto"/>
                <w:sz w:val="18"/>
                <w:szCs w:val="18"/>
              </w:rPr>
              <w:t>The Datafication of Primary and Early Years Education</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0B6F438A" w14:textId="77777777" w:rsidR="00765F7C" w:rsidRPr="005D612E" w:rsidRDefault="00000000">
            <w:pPr>
              <w:rPr>
                <w:rFonts w:ascii="Arial" w:hAnsi="Arial" w:cs="Arial"/>
                <w:color w:val="auto"/>
              </w:rPr>
            </w:pPr>
            <w:r w:rsidRPr="005D612E">
              <w:rPr>
                <w:rFonts w:ascii="Arial" w:hAnsi="Arial" w:cs="Arial"/>
                <w:color w:val="auto"/>
                <w:sz w:val="18"/>
                <w:szCs w:val="18"/>
              </w:rPr>
              <w:t>Quantification regimes narrow curriculum and reshape teacher professional identity; number becomes a proxy for educational value.</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467EB1DD" w14:textId="77777777" w:rsidR="00765F7C" w:rsidRPr="005D612E" w:rsidRDefault="00000000">
            <w:pPr>
              <w:rPr>
                <w:rFonts w:ascii="Arial" w:hAnsi="Arial" w:cs="Arial"/>
                <w:color w:val="auto"/>
              </w:rPr>
            </w:pPr>
            <w:r w:rsidRPr="005D612E">
              <w:rPr>
                <w:rFonts w:ascii="Arial" w:hAnsi="Arial" w:cs="Arial"/>
                <w:color w:val="auto"/>
                <w:sz w:val="18"/>
                <w:szCs w:val="18"/>
              </w:rPr>
              <w:t>UK-specific; quantitative data on curriculum impact absent; focus on early years.</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057A55FD" w14:textId="77777777" w:rsidR="00765F7C" w:rsidRPr="005D612E" w:rsidRDefault="00000000">
            <w:pPr>
              <w:rPr>
                <w:rFonts w:ascii="Arial" w:hAnsi="Arial" w:cs="Arial"/>
                <w:color w:val="auto"/>
              </w:rPr>
            </w:pPr>
            <w:r w:rsidRPr="005D612E">
              <w:rPr>
                <w:rFonts w:ascii="Arial" w:hAnsi="Arial" w:cs="Arial"/>
                <w:color w:val="auto"/>
                <w:sz w:val="18"/>
                <w:szCs w:val="18"/>
              </w:rPr>
              <w:t>Longitudinal studies on datafication and curriculum change; cross-phase comparisons.</w:t>
            </w:r>
          </w:p>
        </w:tc>
      </w:tr>
      <w:tr w:rsidR="00765F7C" w:rsidRPr="005D612E" w14:paraId="5C0EF5CD"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06A08467"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Couldry, N., &amp; Mejias, U.A.</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570412D9"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2019</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253E7D9" w14:textId="77777777" w:rsidR="00765F7C" w:rsidRPr="005D612E" w:rsidRDefault="00000000">
            <w:pPr>
              <w:rPr>
                <w:rFonts w:ascii="Arial" w:hAnsi="Arial" w:cs="Arial"/>
                <w:color w:val="auto"/>
              </w:rPr>
            </w:pPr>
            <w:r w:rsidRPr="005D612E">
              <w:rPr>
                <w:rFonts w:ascii="Arial" w:hAnsi="Arial" w:cs="Arial"/>
                <w:i/>
                <w:iCs/>
                <w:color w:val="auto"/>
                <w:sz w:val="18"/>
                <w:szCs w:val="18"/>
              </w:rPr>
              <w:t>Data Colonialism: Rethinking Big Data's Relation to the Contemporary Subject</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7F24193" w14:textId="77777777" w:rsidR="00765F7C" w:rsidRPr="005D612E" w:rsidRDefault="00000000">
            <w:pPr>
              <w:rPr>
                <w:rFonts w:ascii="Arial" w:hAnsi="Arial" w:cs="Arial"/>
                <w:color w:val="auto"/>
              </w:rPr>
            </w:pPr>
            <w:r w:rsidRPr="005D612E">
              <w:rPr>
                <w:rFonts w:ascii="Arial" w:hAnsi="Arial" w:cs="Arial"/>
                <w:color w:val="auto"/>
                <w:sz w:val="18"/>
                <w:szCs w:val="18"/>
              </w:rPr>
              <w:t>Data colonialism appropriates social relations as raw material for capital accumulation; follows the structural logic of historical colonialism without requiring territorial occupation.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23CAAB20" w14:textId="77777777" w:rsidR="00765F7C" w:rsidRPr="005D612E" w:rsidRDefault="00000000">
            <w:pPr>
              <w:rPr>
                <w:rFonts w:ascii="Arial" w:hAnsi="Arial" w:cs="Arial"/>
                <w:color w:val="auto"/>
              </w:rPr>
            </w:pPr>
            <w:r w:rsidRPr="005D612E">
              <w:rPr>
                <w:rFonts w:ascii="Arial" w:hAnsi="Arial" w:cs="Arial"/>
                <w:color w:val="auto"/>
                <w:sz w:val="18"/>
                <w:szCs w:val="18"/>
              </w:rPr>
              <w:t>Primarily theoretical; lacks granular empirical case studies; education not primary focus.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113B4E1" w14:textId="77777777" w:rsidR="00765F7C" w:rsidRPr="005D612E" w:rsidRDefault="00000000">
            <w:pPr>
              <w:rPr>
                <w:rFonts w:ascii="Arial" w:hAnsi="Arial" w:cs="Arial"/>
                <w:color w:val="auto"/>
              </w:rPr>
            </w:pPr>
            <w:r w:rsidRPr="005D612E">
              <w:rPr>
                <w:rFonts w:ascii="Arial" w:hAnsi="Arial" w:cs="Arial"/>
                <w:color w:val="auto"/>
                <w:sz w:val="18"/>
                <w:szCs w:val="18"/>
              </w:rPr>
              <w:t>Empirical studies of data colonialism in specific sectors including education; resistance and contestation.</w:t>
            </w:r>
          </w:p>
        </w:tc>
      </w:tr>
      <w:tr w:rsidR="00765F7C" w:rsidRPr="005D612E" w14:paraId="64220550"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44F8A00D"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Cukurova, M.</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1120DFC1"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2025</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3534981A" w14:textId="77777777" w:rsidR="00765F7C" w:rsidRPr="005D612E" w:rsidRDefault="00000000">
            <w:pPr>
              <w:rPr>
                <w:rFonts w:ascii="Arial" w:hAnsi="Arial" w:cs="Arial"/>
                <w:color w:val="auto"/>
              </w:rPr>
            </w:pPr>
            <w:r w:rsidRPr="005D612E">
              <w:rPr>
                <w:rFonts w:ascii="Arial" w:hAnsi="Arial" w:cs="Arial"/>
                <w:i/>
                <w:iCs/>
                <w:color w:val="auto"/>
                <w:sz w:val="18"/>
                <w:szCs w:val="18"/>
              </w:rPr>
              <w:t>The Interplay of Learning, Analytics and AI: A Vision for Hybrid Intelligence</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3DBBDEA2" w14:textId="77777777" w:rsidR="00765F7C" w:rsidRPr="005D612E" w:rsidRDefault="00000000">
            <w:pPr>
              <w:rPr>
                <w:rFonts w:ascii="Arial" w:hAnsi="Arial" w:cs="Arial"/>
                <w:color w:val="auto"/>
              </w:rPr>
            </w:pPr>
            <w:r w:rsidRPr="005D612E">
              <w:rPr>
                <w:rFonts w:ascii="Arial" w:hAnsi="Arial" w:cs="Arial"/>
                <w:color w:val="auto"/>
                <w:sz w:val="18"/>
                <w:szCs w:val="18"/>
              </w:rPr>
              <w:t>AI systems that replace rather than augment human professional judgment produce long-term 'cognitive atrophy' in teacher and student competencies; advocates hybrid human-machine intelligence.</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6B58C7BD" w14:textId="77777777" w:rsidR="00765F7C" w:rsidRPr="005D612E" w:rsidRDefault="00000000">
            <w:pPr>
              <w:rPr>
                <w:rFonts w:ascii="Arial" w:hAnsi="Arial" w:cs="Arial"/>
                <w:color w:val="auto"/>
              </w:rPr>
            </w:pPr>
            <w:r w:rsidRPr="005D612E">
              <w:rPr>
                <w:rFonts w:ascii="Arial" w:hAnsi="Arial" w:cs="Arial"/>
                <w:color w:val="auto"/>
                <w:sz w:val="18"/>
                <w:szCs w:val="18"/>
              </w:rPr>
              <w:t>Conceptual; limited empirical validation; primarily Global North framing.</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47F38429" w14:textId="77777777" w:rsidR="00765F7C" w:rsidRPr="005D612E" w:rsidRDefault="00000000">
            <w:pPr>
              <w:rPr>
                <w:rFonts w:ascii="Arial" w:hAnsi="Arial" w:cs="Arial"/>
                <w:color w:val="auto"/>
              </w:rPr>
            </w:pPr>
            <w:r w:rsidRPr="005D612E">
              <w:rPr>
                <w:rFonts w:ascii="Arial" w:hAnsi="Arial" w:cs="Arial"/>
                <w:color w:val="auto"/>
                <w:sz w:val="18"/>
                <w:szCs w:val="18"/>
              </w:rPr>
              <w:t>Empirical tests of hybrid intelligence models; application in under-resourced and low-connectivity contexts.</w:t>
            </w:r>
          </w:p>
        </w:tc>
      </w:tr>
      <w:tr w:rsidR="00765F7C" w:rsidRPr="005D612E" w14:paraId="3BD09FC2"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0832C7E6"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D'Ignazio, C., &amp; Klein, L.F.</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1F2B835F"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2020</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35B8B8E" w14:textId="77777777" w:rsidR="00765F7C" w:rsidRPr="005D612E" w:rsidRDefault="00000000">
            <w:pPr>
              <w:rPr>
                <w:rFonts w:ascii="Arial" w:hAnsi="Arial" w:cs="Arial"/>
                <w:color w:val="auto"/>
              </w:rPr>
            </w:pPr>
            <w:r w:rsidRPr="005D612E">
              <w:rPr>
                <w:rFonts w:ascii="Arial" w:hAnsi="Arial" w:cs="Arial"/>
                <w:i/>
                <w:iCs/>
                <w:color w:val="auto"/>
                <w:sz w:val="18"/>
                <w:szCs w:val="18"/>
              </w:rPr>
              <w:t>Data Feminism</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A05C1B1" w14:textId="77777777" w:rsidR="00765F7C" w:rsidRPr="005D612E" w:rsidRDefault="00000000">
            <w:pPr>
              <w:rPr>
                <w:rFonts w:ascii="Arial" w:hAnsi="Arial" w:cs="Arial"/>
                <w:color w:val="auto"/>
              </w:rPr>
            </w:pPr>
            <w:r w:rsidRPr="005D612E">
              <w:rPr>
                <w:rFonts w:ascii="Arial" w:hAnsi="Arial" w:cs="Arial"/>
                <w:color w:val="auto"/>
                <w:sz w:val="18"/>
                <w:szCs w:val="18"/>
              </w:rPr>
              <w:t>Intersecting dimensions of gender, race, class, and power shape whose data is collected, how it is analysed, and whose knowledge counts; data analysis is always political.</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9E48DD9" w14:textId="77777777" w:rsidR="00765F7C" w:rsidRPr="005D612E" w:rsidRDefault="00000000">
            <w:pPr>
              <w:rPr>
                <w:rFonts w:ascii="Arial" w:hAnsi="Arial" w:cs="Arial"/>
                <w:color w:val="auto"/>
              </w:rPr>
            </w:pPr>
            <w:r w:rsidRPr="005D612E">
              <w:rPr>
                <w:rFonts w:ascii="Arial" w:hAnsi="Arial" w:cs="Arial"/>
                <w:color w:val="auto"/>
                <w:sz w:val="18"/>
                <w:szCs w:val="18"/>
              </w:rPr>
              <w:t>US-centric in examples; limited direct educational governance application.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022A2E9" w14:textId="77777777" w:rsidR="00765F7C" w:rsidRPr="005D612E" w:rsidRDefault="00000000">
            <w:pPr>
              <w:rPr>
                <w:rFonts w:ascii="Arial" w:hAnsi="Arial" w:cs="Arial"/>
                <w:color w:val="auto"/>
              </w:rPr>
            </w:pPr>
            <w:r w:rsidRPr="005D612E">
              <w:rPr>
                <w:rFonts w:ascii="Arial" w:hAnsi="Arial" w:cs="Arial"/>
                <w:color w:val="auto"/>
                <w:sz w:val="18"/>
                <w:szCs w:val="18"/>
              </w:rPr>
              <w:t>Feminist data studies in Global South education; intersectional analysis of educational datafication.</w:t>
            </w:r>
          </w:p>
        </w:tc>
      </w:tr>
      <w:tr w:rsidR="00765F7C" w:rsidRPr="005D612E" w14:paraId="38FFED6C"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4D8DAA85"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Daliri-Ngametua, R., Hardy, I., &amp; Creagh, S.</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4ED39060"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2022</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25568779" w14:textId="77777777" w:rsidR="00765F7C" w:rsidRPr="005D612E" w:rsidRDefault="00000000">
            <w:pPr>
              <w:rPr>
                <w:rFonts w:ascii="Arial" w:hAnsi="Arial" w:cs="Arial"/>
                <w:color w:val="auto"/>
              </w:rPr>
            </w:pPr>
            <w:r w:rsidRPr="005D612E">
              <w:rPr>
                <w:rFonts w:ascii="Arial" w:hAnsi="Arial" w:cs="Arial"/>
                <w:i/>
                <w:iCs/>
                <w:color w:val="auto"/>
                <w:sz w:val="18"/>
                <w:szCs w:val="18"/>
              </w:rPr>
              <w:t>Data Performativity and the Erosion of Trust in Teachers</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0397E336" w14:textId="7D8EDACF" w:rsidR="00765F7C" w:rsidRPr="005D612E" w:rsidRDefault="00000000">
            <w:pPr>
              <w:rPr>
                <w:rFonts w:ascii="Arial" w:hAnsi="Arial" w:cs="Arial"/>
                <w:color w:val="auto"/>
              </w:rPr>
            </w:pPr>
            <w:r w:rsidRPr="005D612E">
              <w:rPr>
                <w:rFonts w:ascii="Arial" w:hAnsi="Arial" w:cs="Arial"/>
                <w:color w:val="auto"/>
                <w:sz w:val="18"/>
                <w:szCs w:val="18"/>
              </w:rPr>
              <w:t xml:space="preserve">Data </w:t>
            </w:r>
            <w:proofErr w:type="spellStart"/>
            <w:proofErr w:type="gramStart"/>
            <w:r w:rsidRPr="005D612E">
              <w:rPr>
                <w:rFonts w:ascii="Arial" w:hAnsi="Arial" w:cs="Arial"/>
                <w:color w:val="auto"/>
                <w:sz w:val="18"/>
                <w:szCs w:val="18"/>
              </w:rPr>
              <w:t>performativity</w:t>
            </w:r>
            <w:r w:rsidR="00536781">
              <w:rPr>
                <w:rFonts w:ascii="Arial" w:hAnsi="Arial" w:cs="Arial"/>
                <w:color w:val="auto"/>
                <w:sz w:val="18"/>
                <w:szCs w:val="18"/>
              </w:rPr>
              <w:t>,</w:t>
            </w:r>
            <w:r w:rsidRPr="005D612E">
              <w:rPr>
                <w:rFonts w:ascii="Arial" w:hAnsi="Arial" w:cs="Arial"/>
                <w:color w:val="auto"/>
                <w:sz w:val="18"/>
                <w:szCs w:val="18"/>
              </w:rPr>
              <w:t>institutional</w:t>
            </w:r>
            <w:proofErr w:type="spellEnd"/>
            <w:proofErr w:type="gramEnd"/>
            <w:r w:rsidRPr="005D612E">
              <w:rPr>
                <w:rFonts w:ascii="Arial" w:hAnsi="Arial" w:cs="Arial"/>
                <w:color w:val="auto"/>
                <w:sz w:val="18"/>
                <w:szCs w:val="18"/>
              </w:rPr>
              <w:t xml:space="preserve"> pressure to produce compliant, legible </w:t>
            </w:r>
            <w:proofErr w:type="spellStart"/>
            <w:proofErr w:type="gramStart"/>
            <w:r w:rsidRPr="005D612E">
              <w:rPr>
                <w:rFonts w:ascii="Arial" w:hAnsi="Arial" w:cs="Arial"/>
                <w:color w:val="auto"/>
                <w:sz w:val="18"/>
                <w:szCs w:val="18"/>
              </w:rPr>
              <w:t>data</w:t>
            </w:r>
            <w:r w:rsidR="00536781">
              <w:rPr>
                <w:rFonts w:ascii="Arial" w:hAnsi="Arial" w:cs="Arial"/>
                <w:color w:val="auto"/>
                <w:sz w:val="18"/>
                <w:szCs w:val="18"/>
              </w:rPr>
              <w:t>,</w:t>
            </w:r>
            <w:r w:rsidRPr="005D612E">
              <w:rPr>
                <w:rFonts w:ascii="Arial" w:hAnsi="Arial" w:cs="Arial"/>
                <w:color w:val="auto"/>
                <w:sz w:val="18"/>
                <w:szCs w:val="18"/>
              </w:rPr>
              <w:t>systematically</w:t>
            </w:r>
            <w:proofErr w:type="spellEnd"/>
            <w:proofErr w:type="gramEnd"/>
            <w:r w:rsidRPr="005D612E">
              <w:rPr>
                <w:rFonts w:ascii="Arial" w:hAnsi="Arial" w:cs="Arial"/>
                <w:color w:val="auto"/>
                <w:sz w:val="18"/>
                <w:szCs w:val="18"/>
              </w:rPr>
              <w:t xml:space="preserve"> erodes trust between teachers and school leaders and displaces professional judgment.</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74F42F35" w14:textId="77777777" w:rsidR="00765F7C" w:rsidRPr="005D612E" w:rsidRDefault="00000000">
            <w:pPr>
              <w:rPr>
                <w:rFonts w:ascii="Arial" w:hAnsi="Arial" w:cs="Arial"/>
                <w:color w:val="auto"/>
              </w:rPr>
            </w:pPr>
            <w:r w:rsidRPr="005D612E">
              <w:rPr>
                <w:rFonts w:ascii="Arial" w:hAnsi="Arial" w:cs="Arial"/>
                <w:color w:val="auto"/>
                <w:sz w:val="18"/>
                <w:szCs w:val="18"/>
              </w:rPr>
              <w:t>Australian context; qualitative; limited transferability claims; teacher perspectives centred, student experience absent.</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56C404FB" w14:textId="77777777" w:rsidR="00765F7C" w:rsidRPr="005D612E" w:rsidRDefault="00000000">
            <w:pPr>
              <w:rPr>
                <w:rFonts w:ascii="Arial" w:hAnsi="Arial" w:cs="Arial"/>
                <w:color w:val="auto"/>
              </w:rPr>
            </w:pPr>
            <w:r w:rsidRPr="005D612E">
              <w:rPr>
                <w:rFonts w:ascii="Arial" w:hAnsi="Arial" w:cs="Arial"/>
                <w:color w:val="auto"/>
                <w:sz w:val="18"/>
                <w:szCs w:val="18"/>
              </w:rPr>
              <w:t>Cross-national comparisons; student and community perspectives on data-driven accountability.</w:t>
            </w:r>
          </w:p>
        </w:tc>
      </w:tr>
      <w:tr w:rsidR="00765F7C" w:rsidRPr="005D612E" w14:paraId="5B6AEC70"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4D4412B6"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Eubanks, V.</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478EBF16"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2018</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A458935" w14:textId="77777777" w:rsidR="00765F7C" w:rsidRPr="005D612E" w:rsidRDefault="00000000">
            <w:pPr>
              <w:rPr>
                <w:rFonts w:ascii="Arial" w:hAnsi="Arial" w:cs="Arial"/>
                <w:color w:val="auto"/>
              </w:rPr>
            </w:pPr>
            <w:r w:rsidRPr="005D612E">
              <w:rPr>
                <w:rFonts w:ascii="Arial" w:hAnsi="Arial" w:cs="Arial"/>
                <w:i/>
                <w:iCs/>
                <w:color w:val="auto"/>
                <w:sz w:val="18"/>
                <w:szCs w:val="18"/>
              </w:rPr>
              <w:t>Automating Inequality</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8AD8467" w14:textId="77777777" w:rsidR="00765F7C" w:rsidRPr="005D612E" w:rsidRDefault="00000000">
            <w:pPr>
              <w:rPr>
                <w:rFonts w:ascii="Arial" w:hAnsi="Arial" w:cs="Arial"/>
                <w:color w:val="auto"/>
              </w:rPr>
            </w:pPr>
            <w:r w:rsidRPr="005D612E">
              <w:rPr>
                <w:rFonts w:ascii="Arial" w:hAnsi="Arial" w:cs="Arial"/>
                <w:color w:val="auto"/>
                <w:sz w:val="18"/>
                <w:szCs w:val="18"/>
              </w:rPr>
              <w:t>Automated decision systems systematically target, monitor, and punish the poor; high-tech tools reproduce rather than solve structural inequality.</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3BD4E90" w14:textId="77777777" w:rsidR="00765F7C" w:rsidRPr="005D612E" w:rsidRDefault="00000000">
            <w:pPr>
              <w:rPr>
                <w:rFonts w:ascii="Arial" w:hAnsi="Arial" w:cs="Arial"/>
                <w:color w:val="auto"/>
              </w:rPr>
            </w:pPr>
            <w:r w:rsidRPr="005D612E">
              <w:rPr>
                <w:rFonts w:ascii="Arial" w:hAnsi="Arial" w:cs="Arial"/>
                <w:color w:val="auto"/>
                <w:sz w:val="18"/>
                <w:szCs w:val="18"/>
              </w:rPr>
              <w:t>US-specific social welfare context; limited direct educational governance application.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07BE0C6" w14:textId="77777777" w:rsidR="00765F7C" w:rsidRPr="005D612E" w:rsidRDefault="00000000">
            <w:pPr>
              <w:rPr>
                <w:rFonts w:ascii="Arial" w:hAnsi="Arial" w:cs="Arial"/>
                <w:color w:val="auto"/>
              </w:rPr>
            </w:pPr>
            <w:r w:rsidRPr="005D612E">
              <w:rPr>
                <w:rFonts w:ascii="Arial" w:hAnsi="Arial" w:cs="Arial"/>
                <w:color w:val="auto"/>
                <w:sz w:val="18"/>
                <w:szCs w:val="18"/>
              </w:rPr>
              <w:t>Automated inequality in school governance; datafication of educational poverty and disadvantage.</w:t>
            </w:r>
          </w:p>
        </w:tc>
      </w:tr>
      <w:tr w:rsidR="00765F7C" w:rsidRPr="005D612E" w14:paraId="21F38127"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52EC6153"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Gillborn, D., Warmington, P., &amp; Demack, S.</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515E942E"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2018</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467792F" w14:textId="77777777" w:rsidR="00765F7C" w:rsidRPr="005D612E" w:rsidRDefault="00000000">
            <w:pPr>
              <w:rPr>
                <w:rFonts w:ascii="Arial" w:hAnsi="Arial" w:cs="Arial"/>
                <w:color w:val="auto"/>
              </w:rPr>
            </w:pPr>
            <w:r w:rsidRPr="005D612E">
              <w:rPr>
                <w:rFonts w:ascii="Arial" w:hAnsi="Arial" w:cs="Arial"/>
                <w:i/>
                <w:iCs/>
                <w:color w:val="auto"/>
                <w:sz w:val="18"/>
                <w:szCs w:val="18"/>
              </w:rPr>
              <w:t>QuantCrit: Education, Policy, Big Data and Race</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0A0DD10" w14:textId="77777777" w:rsidR="00765F7C" w:rsidRPr="005D612E" w:rsidRDefault="00000000">
            <w:pPr>
              <w:rPr>
                <w:rFonts w:ascii="Arial" w:hAnsi="Arial" w:cs="Arial"/>
                <w:color w:val="auto"/>
              </w:rPr>
            </w:pPr>
            <w:r w:rsidRPr="005D612E">
              <w:rPr>
                <w:rFonts w:ascii="Arial" w:hAnsi="Arial" w:cs="Arial"/>
                <w:color w:val="auto"/>
                <w:sz w:val="18"/>
                <w:szCs w:val="18"/>
              </w:rPr>
              <w:t>Critical race theory applied to quantitative methods reveals how data can produce racially distorted accounts of educational performance; numbers are not neutral.</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64D7240" w14:textId="77777777" w:rsidR="00765F7C" w:rsidRPr="005D612E" w:rsidRDefault="00000000">
            <w:pPr>
              <w:rPr>
                <w:rFonts w:ascii="Arial" w:hAnsi="Arial" w:cs="Arial"/>
                <w:color w:val="auto"/>
              </w:rPr>
            </w:pPr>
            <w:r w:rsidRPr="005D612E">
              <w:rPr>
                <w:rFonts w:ascii="Arial" w:hAnsi="Arial" w:cs="Arial"/>
                <w:color w:val="auto"/>
                <w:sz w:val="18"/>
                <w:szCs w:val="18"/>
              </w:rPr>
              <w:t>UK and US focus; methodological rather than governance focus; limited Global South application.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424C702" w14:textId="77777777" w:rsidR="00765F7C" w:rsidRPr="005D612E" w:rsidRDefault="00000000">
            <w:pPr>
              <w:rPr>
                <w:rFonts w:ascii="Arial" w:hAnsi="Arial" w:cs="Arial"/>
                <w:color w:val="auto"/>
              </w:rPr>
            </w:pPr>
            <w:r w:rsidRPr="005D612E">
              <w:rPr>
                <w:rFonts w:ascii="Arial" w:hAnsi="Arial" w:cs="Arial"/>
                <w:color w:val="auto"/>
                <w:sz w:val="18"/>
                <w:szCs w:val="18"/>
              </w:rPr>
              <w:t>QuantCrit applications in caste and ethnic minority educational contexts in Global South.</w:t>
            </w:r>
          </w:p>
        </w:tc>
      </w:tr>
      <w:tr w:rsidR="00765F7C" w:rsidRPr="005D612E" w14:paraId="5E858EFD"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05DB3E91"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Gray, C.</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46FC035D"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2023</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D19D396" w14:textId="77777777" w:rsidR="00765F7C" w:rsidRPr="005D612E" w:rsidRDefault="00000000">
            <w:pPr>
              <w:rPr>
                <w:rFonts w:ascii="Arial" w:hAnsi="Arial" w:cs="Arial"/>
                <w:color w:val="auto"/>
              </w:rPr>
            </w:pPr>
            <w:r w:rsidRPr="005D612E">
              <w:rPr>
                <w:rFonts w:ascii="Arial" w:hAnsi="Arial" w:cs="Arial"/>
                <w:i/>
                <w:iCs/>
                <w:color w:val="auto"/>
                <w:sz w:val="18"/>
                <w:szCs w:val="18"/>
              </w:rPr>
              <w:t>More than Extraction: Rethinking Data's Colonial Political Economy</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2D7024C" w14:textId="77777777" w:rsidR="00765F7C" w:rsidRPr="005D612E" w:rsidRDefault="00000000">
            <w:pPr>
              <w:rPr>
                <w:rFonts w:ascii="Arial" w:hAnsi="Arial" w:cs="Arial"/>
                <w:color w:val="auto"/>
              </w:rPr>
            </w:pPr>
            <w:r w:rsidRPr="005D612E">
              <w:rPr>
                <w:rFonts w:ascii="Arial" w:hAnsi="Arial" w:cs="Arial"/>
                <w:color w:val="auto"/>
                <w:sz w:val="18"/>
                <w:szCs w:val="18"/>
              </w:rPr>
              <w:t>Argues for a historicised, differentiated account of colonial data dispossession beyond resource-extraction analogies; foregrounds epistemic and political dimensions.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D801186" w14:textId="77777777" w:rsidR="00765F7C" w:rsidRPr="005D612E" w:rsidRDefault="00000000">
            <w:pPr>
              <w:rPr>
                <w:rFonts w:ascii="Arial" w:hAnsi="Arial" w:cs="Arial"/>
                <w:color w:val="auto"/>
              </w:rPr>
            </w:pPr>
            <w:r w:rsidRPr="005D612E">
              <w:rPr>
                <w:rFonts w:ascii="Arial" w:hAnsi="Arial" w:cs="Arial"/>
                <w:color w:val="auto"/>
                <w:sz w:val="18"/>
                <w:szCs w:val="18"/>
              </w:rPr>
              <w:t>Primarily theoretical; limited empirical application; education not primary focus.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52D1B84" w14:textId="77777777" w:rsidR="00765F7C" w:rsidRPr="005D612E" w:rsidRDefault="00000000">
            <w:pPr>
              <w:rPr>
                <w:rFonts w:ascii="Arial" w:hAnsi="Arial" w:cs="Arial"/>
                <w:color w:val="auto"/>
              </w:rPr>
            </w:pPr>
            <w:r w:rsidRPr="005D612E">
              <w:rPr>
                <w:rFonts w:ascii="Arial" w:hAnsi="Arial" w:cs="Arial"/>
                <w:color w:val="auto"/>
                <w:sz w:val="18"/>
                <w:szCs w:val="18"/>
              </w:rPr>
              <w:t>Empirical studies of data colonial dispossession in specific institutional domains including education.</w:t>
            </w:r>
          </w:p>
        </w:tc>
      </w:tr>
      <w:tr w:rsidR="00765F7C" w:rsidRPr="005D612E" w14:paraId="510AAB3F"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44CB5973"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Hu, M., Li, S., Chen, Y., Li, X., &amp; Tong, X.</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48336CF0"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2025</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77E71D0F" w14:textId="77777777" w:rsidR="00765F7C" w:rsidRPr="005D612E" w:rsidRDefault="00000000">
            <w:pPr>
              <w:rPr>
                <w:rFonts w:ascii="Arial" w:hAnsi="Arial" w:cs="Arial"/>
                <w:color w:val="auto"/>
              </w:rPr>
            </w:pPr>
            <w:r w:rsidRPr="005D612E">
              <w:rPr>
                <w:rFonts w:ascii="Arial" w:hAnsi="Arial" w:cs="Arial"/>
                <w:i/>
                <w:iCs/>
                <w:color w:val="auto"/>
                <w:sz w:val="18"/>
                <w:szCs w:val="18"/>
              </w:rPr>
              <w:t>Revisiting Foucault's Panopticon: AI Surveillance in Educational Norms</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7852BB89" w14:textId="77777777" w:rsidR="00765F7C" w:rsidRPr="005D612E" w:rsidRDefault="00000000">
            <w:pPr>
              <w:rPr>
                <w:rFonts w:ascii="Arial" w:hAnsi="Arial" w:cs="Arial"/>
                <w:color w:val="auto"/>
              </w:rPr>
            </w:pPr>
            <w:r w:rsidRPr="005D612E">
              <w:rPr>
                <w:rFonts w:ascii="Arial" w:hAnsi="Arial" w:cs="Arial"/>
                <w:color w:val="auto"/>
                <w:sz w:val="18"/>
                <w:szCs w:val="18"/>
              </w:rPr>
              <w:t>AI surveillance produces 'post-panoptic' subjectivities; teachers and students internalise algorithmic norms as self-regulating behaviour independent of direct monitoring; surveillance is now ambient.</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18F176F9" w14:textId="77777777" w:rsidR="00765F7C" w:rsidRPr="005D612E" w:rsidRDefault="00000000">
            <w:pPr>
              <w:rPr>
                <w:rFonts w:ascii="Arial" w:hAnsi="Arial" w:cs="Arial"/>
                <w:color w:val="auto"/>
              </w:rPr>
            </w:pPr>
            <w:r w:rsidRPr="005D612E">
              <w:rPr>
                <w:rFonts w:ascii="Arial" w:hAnsi="Arial" w:cs="Arial"/>
                <w:color w:val="auto"/>
                <w:sz w:val="18"/>
                <w:szCs w:val="18"/>
              </w:rPr>
              <w:t>Chinese and East Asian contexts; qualitative; self-report; limited transferability to Global South low-resource settings.</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026E0035" w14:textId="77777777" w:rsidR="00765F7C" w:rsidRPr="005D612E" w:rsidRDefault="00000000">
            <w:pPr>
              <w:rPr>
                <w:rFonts w:ascii="Arial" w:hAnsi="Arial" w:cs="Arial"/>
                <w:color w:val="auto"/>
              </w:rPr>
            </w:pPr>
            <w:r w:rsidRPr="005D612E">
              <w:rPr>
                <w:rFonts w:ascii="Arial" w:hAnsi="Arial" w:cs="Arial"/>
                <w:color w:val="auto"/>
                <w:sz w:val="18"/>
                <w:szCs w:val="18"/>
              </w:rPr>
              <w:t>Cross-cultural comparisons of post-panoptic effects; AI surveillance in under-resourced Southern contexts.</w:t>
            </w:r>
          </w:p>
        </w:tc>
      </w:tr>
      <w:tr w:rsidR="00765F7C" w:rsidRPr="005D612E" w14:paraId="6E1B6655"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2158805C" w14:textId="123B0C42" w:rsidR="00765F7C" w:rsidRPr="005D612E" w:rsidRDefault="003E13B8" w:rsidP="005D612E">
            <w:pPr>
              <w:jc w:val="center"/>
              <w:rPr>
                <w:rFonts w:ascii="Arial" w:hAnsi="Arial" w:cs="Arial"/>
                <w:color w:val="auto"/>
              </w:rPr>
            </w:pPr>
            <w:r w:rsidRPr="005D612E">
              <w:rPr>
                <w:rFonts w:ascii="Arial" w:hAnsi="Arial" w:cs="Arial"/>
                <w:color w:val="auto"/>
                <w:sz w:val="20"/>
                <w:szCs w:val="20"/>
              </w:rPr>
              <w:t>Schlauch</w:t>
            </w:r>
            <w:r w:rsidRPr="005D612E">
              <w:rPr>
                <w:rFonts w:ascii="Arial" w:hAnsi="Arial" w:cs="Arial"/>
                <w:color w:val="auto"/>
                <w:sz w:val="18"/>
                <w:szCs w:val="18"/>
              </w:rPr>
              <w:t>, M.</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5B410630" w14:textId="42E1946B" w:rsidR="00765F7C" w:rsidRPr="005D612E" w:rsidRDefault="003E13B8" w:rsidP="005D612E">
            <w:pPr>
              <w:ind w:left="113" w:right="113"/>
              <w:jc w:val="center"/>
              <w:rPr>
                <w:rFonts w:ascii="Arial" w:hAnsi="Arial" w:cs="Arial"/>
                <w:color w:val="auto"/>
              </w:rPr>
            </w:pPr>
            <w:r w:rsidRPr="005D612E">
              <w:rPr>
                <w:rFonts w:ascii="Arial" w:hAnsi="Arial" w:cs="Arial"/>
                <w:color w:val="auto"/>
                <w:sz w:val="18"/>
                <w:szCs w:val="18"/>
              </w:rPr>
              <w:t>2021</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8974530" w14:textId="63350B06" w:rsidR="00765F7C" w:rsidRPr="005D612E" w:rsidRDefault="003E13B8">
            <w:pPr>
              <w:rPr>
                <w:rFonts w:ascii="Arial" w:hAnsi="Arial" w:cs="Arial"/>
                <w:color w:val="auto"/>
              </w:rPr>
            </w:pPr>
            <w:r w:rsidRPr="005D612E">
              <w:rPr>
                <w:rFonts w:ascii="Arial" w:hAnsi="Arial" w:cs="Arial"/>
                <w:color w:val="auto"/>
                <w:sz w:val="18"/>
                <w:szCs w:val="18"/>
              </w:rPr>
              <w:t>Paolo Landri, Digital Governance of Education: Technology, Standards and Europeanization of Education, Bloomsbury</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E4635E8" w14:textId="77777777" w:rsidR="00765F7C" w:rsidRPr="005D612E" w:rsidRDefault="00000000">
            <w:pPr>
              <w:rPr>
                <w:rFonts w:ascii="Arial" w:hAnsi="Arial" w:cs="Arial"/>
                <w:color w:val="auto"/>
              </w:rPr>
            </w:pPr>
            <w:r w:rsidRPr="005D612E">
              <w:rPr>
                <w:rFonts w:ascii="Arial" w:hAnsi="Arial" w:cs="Arial"/>
                <w:color w:val="auto"/>
                <w:sz w:val="18"/>
                <w:szCs w:val="18"/>
              </w:rPr>
              <w:t>Schools are not passive recipients of digital governance; they align, imitate, and fabricate data in response to datafied accountability demands; school agency in datafication is active and strategic.</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68EB53C" w14:textId="77777777" w:rsidR="00765F7C" w:rsidRPr="005D612E" w:rsidRDefault="00000000">
            <w:pPr>
              <w:rPr>
                <w:rFonts w:ascii="Arial" w:hAnsi="Arial" w:cs="Arial"/>
                <w:color w:val="auto"/>
              </w:rPr>
            </w:pPr>
            <w:r w:rsidRPr="005D612E">
              <w:rPr>
                <w:rFonts w:ascii="Arial" w:hAnsi="Arial" w:cs="Arial"/>
                <w:color w:val="auto"/>
                <w:sz w:val="18"/>
                <w:szCs w:val="18"/>
              </w:rPr>
              <w:t>Italian context; limited generalisability; resistance/gaming as problem rather than emancipatory strategy.</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BCBA23B" w14:textId="77777777" w:rsidR="00765F7C" w:rsidRPr="005D612E" w:rsidRDefault="00000000">
            <w:pPr>
              <w:rPr>
                <w:rFonts w:ascii="Arial" w:hAnsi="Arial" w:cs="Arial"/>
                <w:color w:val="auto"/>
              </w:rPr>
            </w:pPr>
            <w:r w:rsidRPr="005D612E">
              <w:rPr>
                <w:rFonts w:ascii="Arial" w:hAnsi="Arial" w:cs="Arial"/>
                <w:color w:val="auto"/>
                <w:sz w:val="18"/>
                <w:szCs w:val="18"/>
              </w:rPr>
              <w:t>Data gaming and strategic compliance in Global South contexts; implications for EMIS data quality.</w:t>
            </w:r>
          </w:p>
        </w:tc>
      </w:tr>
      <w:tr w:rsidR="00765F7C" w:rsidRPr="005D612E" w14:paraId="0577B9AD"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114FFD82"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Noble, S.U.</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44BD0D10"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2018</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23AAF86E" w14:textId="77777777" w:rsidR="00765F7C" w:rsidRPr="005D612E" w:rsidRDefault="00000000">
            <w:pPr>
              <w:rPr>
                <w:rFonts w:ascii="Arial" w:hAnsi="Arial" w:cs="Arial"/>
                <w:color w:val="auto"/>
              </w:rPr>
            </w:pPr>
            <w:r w:rsidRPr="005D612E">
              <w:rPr>
                <w:rFonts w:ascii="Arial" w:hAnsi="Arial" w:cs="Arial"/>
                <w:i/>
                <w:iCs/>
                <w:color w:val="auto"/>
                <w:sz w:val="18"/>
                <w:szCs w:val="18"/>
              </w:rPr>
              <w:t>Algorithms of Oppression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10950BA" w14:textId="77777777" w:rsidR="00765F7C" w:rsidRPr="005D612E" w:rsidRDefault="00000000">
            <w:pPr>
              <w:rPr>
                <w:rFonts w:ascii="Arial" w:hAnsi="Arial" w:cs="Arial"/>
                <w:color w:val="auto"/>
              </w:rPr>
            </w:pPr>
            <w:r w:rsidRPr="005D612E">
              <w:rPr>
                <w:rFonts w:ascii="Arial" w:hAnsi="Arial" w:cs="Arial"/>
                <w:color w:val="auto"/>
                <w:sz w:val="18"/>
                <w:szCs w:val="18"/>
              </w:rPr>
              <w:t>Search algorithms systematically amplify racial bias; 'algorithmic oppression' describes the way technical systems naturalise and accelerate structural racism.</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D6AD554" w14:textId="77777777" w:rsidR="00765F7C" w:rsidRPr="005D612E" w:rsidRDefault="00000000">
            <w:pPr>
              <w:rPr>
                <w:rFonts w:ascii="Arial" w:hAnsi="Arial" w:cs="Arial"/>
                <w:color w:val="auto"/>
              </w:rPr>
            </w:pPr>
            <w:r w:rsidRPr="005D612E">
              <w:rPr>
                <w:rFonts w:ascii="Arial" w:hAnsi="Arial" w:cs="Arial"/>
                <w:color w:val="auto"/>
                <w:sz w:val="18"/>
                <w:szCs w:val="18"/>
              </w:rPr>
              <w:t>US-centric; focused on search algorithms rather than education governance systems.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6869E67" w14:textId="77777777" w:rsidR="00765F7C" w:rsidRPr="005D612E" w:rsidRDefault="00000000">
            <w:pPr>
              <w:rPr>
                <w:rFonts w:ascii="Arial" w:hAnsi="Arial" w:cs="Arial"/>
                <w:color w:val="auto"/>
              </w:rPr>
            </w:pPr>
            <w:r w:rsidRPr="005D612E">
              <w:rPr>
                <w:rFonts w:ascii="Arial" w:hAnsi="Arial" w:cs="Arial"/>
                <w:color w:val="auto"/>
                <w:sz w:val="18"/>
                <w:szCs w:val="18"/>
              </w:rPr>
              <w:t>Algorithmic oppression in educational data systems; caste and religion-based bias in South Asian EMIS.</w:t>
            </w:r>
          </w:p>
        </w:tc>
      </w:tr>
      <w:tr w:rsidR="00765F7C" w:rsidRPr="005D612E" w14:paraId="6F0919C6"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30F82BD3"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Pangrazio, L., &amp; Selwyn, N.</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3BB61698"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2023</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538D8FFF" w14:textId="77777777" w:rsidR="00765F7C" w:rsidRPr="005D612E" w:rsidRDefault="00000000">
            <w:pPr>
              <w:rPr>
                <w:rFonts w:ascii="Arial" w:hAnsi="Arial" w:cs="Arial"/>
                <w:color w:val="auto"/>
              </w:rPr>
            </w:pPr>
            <w:r w:rsidRPr="005D612E">
              <w:rPr>
                <w:rFonts w:ascii="Arial" w:hAnsi="Arial" w:cs="Arial"/>
                <w:i/>
                <w:iCs/>
                <w:color w:val="auto"/>
                <w:sz w:val="18"/>
                <w:szCs w:val="18"/>
              </w:rPr>
              <w:t>Critical Data Literacies</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78DA0E1D" w14:textId="3919D83E" w:rsidR="00765F7C" w:rsidRPr="005D612E" w:rsidRDefault="00000000">
            <w:pPr>
              <w:rPr>
                <w:rFonts w:ascii="Arial" w:hAnsi="Arial" w:cs="Arial"/>
                <w:color w:val="auto"/>
              </w:rPr>
            </w:pPr>
            <w:r w:rsidRPr="005D612E">
              <w:rPr>
                <w:rFonts w:ascii="Arial" w:hAnsi="Arial" w:cs="Arial"/>
                <w:color w:val="auto"/>
                <w:sz w:val="18"/>
                <w:szCs w:val="18"/>
              </w:rPr>
              <w:t xml:space="preserve">Argues for a curricular and professional practice of critical data </w:t>
            </w:r>
            <w:proofErr w:type="spellStart"/>
            <w:proofErr w:type="gramStart"/>
            <w:r w:rsidRPr="005D612E">
              <w:rPr>
                <w:rFonts w:ascii="Arial" w:hAnsi="Arial" w:cs="Arial"/>
                <w:color w:val="auto"/>
                <w:sz w:val="18"/>
                <w:szCs w:val="18"/>
              </w:rPr>
              <w:t>literacies</w:t>
            </w:r>
            <w:r w:rsidR="00536781">
              <w:rPr>
                <w:rFonts w:ascii="Arial" w:hAnsi="Arial" w:cs="Arial"/>
                <w:color w:val="auto"/>
                <w:sz w:val="18"/>
                <w:szCs w:val="18"/>
              </w:rPr>
              <w:t>,</w:t>
            </w:r>
            <w:r w:rsidRPr="005D612E">
              <w:rPr>
                <w:rFonts w:ascii="Arial" w:hAnsi="Arial" w:cs="Arial"/>
                <w:color w:val="auto"/>
                <w:sz w:val="18"/>
                <w:szCs w:val="18"/>
              </w:rPr>
              <w:t>the</w:t>
            </w:r>
            <w:proofErr w:type="spellEnd"/>
            <w:proofErr w:type="gramEnd"/>
            <w:r w:rsidRPr="005D612E">
              <w:rPr>
                <w:rFonts w:ascii="Arial" w:hAnsi="Arial" w:cs="Arial"/>
                <w:color w:val="auto"/>
                <w:sz w:val="18"/>
                <w:szCs w:val="18"/>
              </w:rPr>
              <w:t xml:space="preserve"> capacity to read, evaluate, and contest datafied </w:t>
            </w:r>
            <w:proofErr w:type="spellStart"/>
            <w:proofErr w:type="gramStart"/>
            <w:r w:rsidRPr="005D612E">
              <w:rPr>
                <w:rFonts w:ascii="Arial" w:hAnsi="Arial" w:cs="Arial"/>
                <w:color w:val="auto"/>
                <w:sz w:val="18"/>
                <w:szCs w:val="18"/>
              </w:rPr>
              <w:t>systems</w:t>
            </w:r>
            <w:r w:rsidR="00536781">
              <w:rPr>
                <w:rFonts w:ascii="Arial" w:hAnsi="Arial" w:cs="Arial"/>
                <w:color w:val="auto"/>
                <w:sz w:val="18"/>
                <w:szCs w:val="18"/>
              </w:rPr>
              <w:t>,</w:t>
            </w:r>
            <w:r w:rsidRPr="005D612E">
              <w:rPr>
                <w:rFonts w:ascii="Arial" w:hAnsi="Arial" w:cs="Arial"/>
                <w:color w:val="auto"/>
                <w:sz w:val="18"/>
                <w:szCs w:val="18"/>
              </w:rPr>
              <w:t>as</w:t>
            </w:r>
            <w:proofErr w:type="spellEnd"/>
            <w:proofErr w:type="gramEnd"/>
            <w:r w:rsidRPr="005D612E">
              <w:rPr>
                <w:rFonts w:ascii="Arial" w:hAnsi="Arial" w:cs="Arial"/>
                <w:color w:val="auto"/>
                <w:sz w:val="18"/>
                <w:szCs w:val="18"/>
              </w:rPr>
              <w:t xml:space="preserve"> a form of epistemic resistance.</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605C5EA0" w14:textId="77777777" w:rsidR="00765F7C" w:rsidRPr="005D612E" w:rsidRDefault="00000000">
            <w:pPr>
              <w:rPr>
                <w:rFonts w:ascii="Arial" w:hAnsi="Arial" w:cs="Arial"/>
                <w:color w:val="auto"/>
              </w:rPr>
            </w:pPr>
            <w:r w:rsidRPr="005D612E">
              <w:rPr>
                <w:rFonts w:ascii="Arial" w:hAnsi="Arial" w:cs="Arial"/>
                <w:color w:val="auto"/>
                <w:sz w:val="18"/>
                <w:szCs w:val="18"/>
              </w:rPr>
              <w:t>Australian-developed framework; assumed high digital literacy baseline; limited Global South application.</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52A71623" w14:textId="77777777" w:rsidR="00765F7C" w:rsidRPr="005D612E" w:rsidRDefault="00000000">
            <w:pPr>
              <w:rPr>
                <w:rFonts w:ascii="Arial" w:hAnsi="Arial" w:cs="Arial"/>
                <w:color w:val="auto"/>
              </w:rPr>
            </w:pPr>
            <w:r w:rsidRPr="005D612E">
              <w:rPr>
                <w:rFonts w:ascii="Arial" w:hAnsi="Arial" w:cs="Arial"/>
                <w:color w:val="auto"/>
                <w:sz w:val="18"/>
                <w:szCs w:val="18"/>
              </w:rPr>
              <w:t>Critical data literacy in under-resourced Southern contexts; teacher-led data literacy programmes.</w:t>
            </w:r>
          </w:p>
        </w:tc>
      </w:tr>
      <w:tr w:rsidR="00765F7C" w:rsidRPr="005D612E" w14:paraId="2CAD27A8"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4B2EB1B2"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Pangrazio, L., Selwyn, N., &amp; Cumbo, B.</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5963E1BD"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2023</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7D7F4F6" w14:textId="77777777" w:rsidR="00765F7C" w:rsidRPr="005D612E" w:rsidRDefault="00000000">
            <w:pPr>
              <w:rPr>
                <w:rFonts w:ascii="Arial" w:hAnsi="Arial" w:cs="Arial"/>
                <w:color w:val="auto"/>
              </w:rPr>
            </w:pPr>
            <w:r w:rsidRPr="005D612E">
              <w:rPr>
                <w:rFonts w:ascii="Arial" w:hAnsi="Arial" w:cs="Arial"/>
                <w:i/>
                <w:iCs/>
                <w:color w:val="auto"/>
                <w:sz w:val="18"/>
                <w:szCs w:val="18"/>
              </w:rPr>
              <w:t>A Patchwork of Platforms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2DD7162" w14:textId="77777777" w:rsidR="00765F7C" w:rsidRPr="005D612E" w:rsidRDefault="00000000">
            <w:pPr>
              <w:rPr>
                <w:rFonts w:ascii="Arial" w:hAnsi="Arial" w:cs="Arial"/>
                <w:color w:val="auto"/>
              </w:rPr>
            </w:pPr>
            <w:r w:rsidRPr="005D612E">
              <w:rPr>
                <w:rFonts w:ascii="Arial" w:hAnsi="Arial" w:cs="Arial"/>
                <w:color w:val="auto"/>
                <w:sz w:val="18"/>
                <w:szCs w:val="18"/>
              </w:rPr>
              <w:t>Maps the digital data infrastructures of schools as complex, heterogeneous assemblages of commercial and public platforms; challenges single-platform governance analyses.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453ABA5" w14:textId="77777777" w:rsidR="00765F7C" w:rsidRPr="005D612E" w:rsidRDefault="00000000">
            <w:pPr>
              <w:rPr>
                <w:rFonts w:ascii="Arial" w:hAnsi="Arial" w:cs="Arial"/>
                <w:color w:val="auto"/>
              </w:rPr>
            </w:pPr>
            <w:r w:rsidRPr="005D612E">
              <w:rPr>
                <w:rFonts w:ascii="Arial" w:hAnsi="Arial" w:cs="Arial"/>
                <w:color w:val="auto"/>
                <w:sz w:val="18"/>
                <w:szCs w:val="18"/>
              </w:rPr>
              <w:t>Australian schools only; limited to English-language platforms; no Global South comparison.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8ECBA1F" w14:textId="77777777" w:rsidR="00765F7C" w:rsidRPr="005D612E" w:rsidRDefault="00000000">
            <w:pPr>
              <w:rPr>
                <w:rFonts w:ascii="Arial" w:hAnsi="Arial" w:cs="Arial"/>
                <w:color w:val="auto"/>
              </w:rPr>
            </w:pPr>
            <w:r w:rsidRPr="005D612E">
              <w:rPr>
                <w:rFonts w:ascii="Arial" w:hAnsi="Arial" w:cs="Arial"/>
                <w:color w:val="auto"/>
                <w:sz w:val="18"/>
                <w:szCs w:val="18"/>
              </w:rPr>
              <w:t>Comparable infrastructure mapping in Global South schools; multilingual platform governance.</w:t>
            </w:r>
          </w:p>
        </w:tc>
      </w:tr>
      <w:tr w:rsidR="00765F7C" w:rsidRPr="005D612E" w14:paraId="64D7EC64"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09D71D32"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Pesek, I.</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1C87AD61"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2026</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1C132E25" w14:textId="77777777" w:rsidR="00765F7C" w:rsidRPr="005D612E" w:rsidRDefault="00000000">
            <w:pPr>
              <w:rPr>
                <w:rFonts w:ascii="Arial" w:hAnsi="Arial" w:cs="Arial"/>
                <w:color w:val="auto"/>
              </w:rPr>
            </w:pPr>
            <w:r w:rsidRPr="005D612E">
              <w:rPr>
                <w:rFonts w:ascii="Arial" w:hAnsi="Arial" w:cs="Arial"/>
                <w:i/>
                <w:iCs/>
                <w:color w:val="auto"/>
                <w:sz w:val="18"/>
                <w:szCs w:val="18"/>
              </w:rPr>
              <w:t>Rethinking Education Governance in the Age of AI</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26DDF4FE" w14:textId="77777777" w:rsidR="00765F7C" w:rsidRPr="005D612E" w:rsidRDefault="00000000">
            <w:pPr>
              <w:rPr>
                <w:rFonts w:ascii="Arial" w:hAnsi="Arial" w:cs="Arial"/>
                <w:color w:val="auto"/>
              </w:rPr>
            </w:pPr>
            <w:r w:rsidRPr="005D612E">
              <w:rPr>
                <w:rFonts w:ascii="Arial" w:hAnsi="Arial" w:cs="Arial"/>
                <w:color w:val="auto"/>
                <w:sz w:val="18"/>
                <w:szCs w:val="18"/>
              </w:rPr>
              <w:t>AI acts as a transversal governance actor cutting across centralisation/decentralisation boundaries, creating structural accountability gaps that traditional governance cannot fill.</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2C0C8CEA" w14:textId="77777777" w:rsidR="00765F7C" w:rsidRPr="005D612E" w:rsidRDefault="00000000">
            <w:pPr>
              <w:rPr>
                <w:rFonts w:ascii="Arial" w:hAnsi="Arial" w:cs="Arial"/>
                <w:color w:val="auto"/>
              </w:rPr>
            </w:pPr>
            <w:r w:rsidRPr="005D612E">
              <w:rPr>
                <w:rFonts w:ascii="Arial" w:hAnsi="Arial" w:cs="Arial"/>
                <w:color w:val="auto"/>
                <w:sz w:val="18"/>
                <w:szCs w:val="18"/>
              </w:rPr>
              <w:t>Primarily conceptual; limited empirical grounding; European governance context assumed.</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7886C246" w14:textId="77777777" w:rsidR="00765F7C" w:rsidRPr="005D612E" w:rsidRDefault="00000000">
            <w:pPr>
              <w:rPr>
                <w:rFonts w:ascii="Arial" w:hAnsi="Arial" w:cs="Arial"/>
                <w:color w:val="auto"/>
              </w:rPr>
            </w:pPr>
            <w:r w:rsidRPr="005D612E">
              <w:rPr>
                <w:rFonts w:ascii="Arial" w:hAnsi="Arial" w:cs="Arial"/>
                <w:color w:val="auto"/>
                <w:sz w:val="18"/>
                <w:szCs w:val="18"/>
              </w:rPr>
              <w:t>Empirical studies of AI's transversal governance effects in Global South under-resourced systems.</w:t>
            </w:r>
          </w:p>
        </w:tc>
      </w:tr>
      <w:tr w:rsidR="00765F7C" w:rsidRPr="005D612E" w14:paraId="07FAC942"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4A94A6FF"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Rafiq-uz-Zaman, M.</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43D76957"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2025</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9F10D3E" w14:textId="77777777" w:rsidR="00765F7C" w:rsidRPr="005D612E" w:rsidRDefault="00000000">
            <w:pPr>
              <w:rPr>
                <w:rFonts w:ascii="Arial" w:hAnsi="Arial" w:cs="Arial"/>
                <w:color w:val="auto"/>
              </w:rPr>
            </w:pPr>
            <w:r w:rsidRPr="005D612E">
              <w:rPr>
                <w:rFonts w:ascii="Arial" w:hAnsi="Arial" w:cs="Arial"/>
                <w:i/>
                <w:iCs/>
                <w:color w:val="auto"/>
                <w:sz w:val="18"/>
                <w:szCs w:val="18"/>
              </w:rPr>
              <w:t>Between Adoption and Ambiguity: AI Policy in Pakistani Higher Education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F95C6CE" w14:textId="77777777" w:rsidR="00765F7C" w:rsidRPr="005D612E" w:rsidRDefault="00000000">
            <w:pPr>
              <w:rPr>
                <w:rFonts w:ascii="Arial" w:hAnsi="Arial" w:cs="Arial"/>
                <w:color w:val="auto"/>
              </w:rPr>
            </w:pPr>
            <w:r w:rsidRPr="005D612E">
              <w:rPr>
                <w:rFonts w:ascii="Arial" w:hAnsi="Arial" w:cs="Arial"/>
                <w:color w:val="auto"/>
                <w:sz w:val="18"/>
                <w:szCs w:val="18"/>
              </w:rPr>
              <w:t>Documents the gap between institutional enthusiasm for AI and the absence of ethical governance frameworks in Pakistani universities; diagnoses 'rhetorical adoption.'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5FF8D162" w14:textId="77777777" w:rsidR="00765F7C" w:rsidRPr="005D612E" w:rsidRDefault="00000000">
            <w:pPr>
              <w:rPr>
                <w:rFonts w:ascii="Arial" w:hAnsi="Arial" w:cs="Arial"/>
                <w:color w:val="auto"/>
              </w:rPr>
            </w:pPr>
            <w:r w:rsidRPr="005D612E">
              <w:rPr>
                <w:rFonts w:ascii="Arial" w:hAnsi="Arial" w:cs="Arial"/>
                <w:color w:val="auto"/>
                <w:sz w:val="18"/>
                <w:szCs w:val="18"/>
              </w:rPr>
              <w:t>Single institution case; higher education focus; limited empirical depth.</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78582E0" w14:textId="77777777" w:rsidR="00765F7C" w:rsidRPr="005D612E" w:rsidRDefault="00000000">
            <w:pPr>
              <w:rPr>
                <w:rFonts w:ascii="Arial" w:hAnsi="Arial" w:cs="Arial"/>
                <w:color w:val="auto"/>
              </w:rPr>
            </w:pPr>
            <w:r w:rsidRPr="005D612E">
              <w:rPr>
                <w:rFonts w:ascii="Arial" w:hAnsi="Arial" w:cs="Arial"/>
                <w:color w:val="auto"/>
                <w:sz w:val="18"/>
                <w:szCs w:val="18"/>
              </w:rPr>
              <w:t>School-level AI governance studies in Pakistan; comparative analysis of AI policy translation across Global South.</w:t>
            </w:r>
          </w:p>
        </w:tc>
      </w:tr>
      <w:tr w:rsidR="00765F7C" w:rsidRPr="005D612E" w14:paraId="4D6F9BEE"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3B07A272"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Ricaurte, P.</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2EEFD578"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2019</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41DD1F35" w14:textId="77777777" w:rsidR="00765F7C" w:rsidRPr="005D612E" w:rsidRDefault="00000000">
            <w:pPr>
              <w:rPr>
                <w:rFonts w:ascii="Arial" w:hAnsi="Arial" w:cs="Arial"/>
                <w:color w:val="auto"/>
              </w:rPr>
            </w:pPr>
            <w:r w:rsidRPr="005D612E">
              <w:rPr>
                <w:rFonts w:ascii="Arial" w:hAnsi="Arial" w:cs="Arial"/>
                <w:i/>
                <w:iCs/>
                <w:color w:val="auto"/>
                <w:sz w:val="18"/>
                <w:szCs w:val="18"/>
              </w:rPr>
              <w:t>Data Epistemologies, the Coloniality of Power, and Resistance</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5B02FA16" w14:textId="55C0FE65" w:rsidR="00765F7C" w:rsidRPr="005D612E" w:rsidRDefault="00000000">
            <w:pPr>
              <w:rPr>
                <w:rFonts w:ascii="Arial" w:hAnsi="Arial" w:cs="Arial"/>
                <w:color w:val="auto"/>
              </w:rPr>
            </w:pPr>
            <w:r w:rsidRPr="005D612E">
              <w:rPr>
                <w:rFonts w:ascii="Arial" w:hAnsi="Arial" w:cs="Arial"/>
                <w:color w:val="auto"/>
                <w:sz w:val="18"/>
                <w:szCs w:val="18"/>
              </w:rPr>
              <w:t xml:space="preserve">Data systems encode colonial </w:t>
            </w:r>
            <w:proofErr w:type="spellStart"/>
            <w:proofErr w:type="gramStart"/>
            <w:r w:rsidRPr="005D612E">
              <w:rPr>
                <w:rFonts w:ascii="Arial" w:hAnsi="Arial" w:cs="Arial"/>
                <w:color w:val="auto"/>
                <w:sz w:val="18"/>
                <w:szCs w:val="18"/>
              </w:rPr>
              <w:t>epistemologies</w:t>
            </w:r>
            <w:r w:rsidR="00536781">
              <w:rPr>
                <w:rFonts w:ascii="Arial" w:hAnsi="Arial" w:cs="Arial"/>
                <w:color w:val="auto"/>
                <w:sz w:val="18"/>
                <w:szCs w:val="18"/>
              </w:rPr>
              <w:t>,</w:t>
            </w:r>
            <w:r w:rsidRPr="005D612E">
              <w:rPr>
                <w:rFonts w:ascii="Arial" w:hAnsi="Arial" w:cs="Arial"/>
                <w:color w:val="auto"/>
                <w:sz w:val="18"/>
                <w:szCs w:val="18"/>
              </w:rPr>
              <w:t>particular</w:t>
            </w:r>
            <w:proofErr w:type="spellEnd"/>
            <w:proofErr w:type="gramEnd"/>
            <w:r w:rsidRPr="005D612E">
              <w:rPr>
                <w:rFonts w:ascii="Arial" w:hAnsi="Arial" w:cs="Arial"/>
                <w:color w:val="auto"/>
                <w:sz w:val="18"/>
                <w:szCs w:val="18"/>
              </w:rPr>
              <w:t xml:space="preserve"> ways of knowing that privilege Global North </w:t>
            </w:r>
            <w:proofErr w:type="spellStart"/>
            <w:proofErr w:type="gramStart"/>
            <w:r w:rsidRPr="005D612E">
              <w:rPr>
                <w:rFonts w:ascii="Arial" w:hAnsi="Arial" w:cs="Arial"/>
                <w:color w:val="auto"/>
                <w:sz w:val="18"/>
                <w:szCs w:val="18"/>
              </w:rPr>
              <w:t>categories</w:t>
            </w:r>
            <w:r w:rsidR="00536781">
              <w:rPr>
                <w:rFonts w:ascii="Arial" w:hAnsi="Arial" w:cs="Arial"/>
                <w:color w:val="auto"/>
                <w:sz w:val="18"/>
                <w:szCs w:val="18"/>
              </w:rPr>
              <w:t>,</w:t>
            </w:r>
            <w:r w:rsidRPr="005D612E">
              <w:rPr>
                <w:rFonts w:ascii="Arial" w:hAnsi="Arial" w:cs="Arial"/>
                <w:color w:val="auto"/>
                <w:sz w:val="18"/>
                <w:szCs w:val="18"/>
              </w:rPr>
              <w:t>and</w:t>
            </w:r>
            <w:proofErr w:type="spellEnd"/>
            <w:proofErr w:type="gramEnd"/>
            <w:r w:rsidRPr="005D612E">
              <w:rPr>
                <w:rFonts w:ascii="Arial" w:hAnsi="Arial" w:cs="Arial"/>
                <w:color w:val="auto"/>
                <w:sz w:val="18"/>
                <w:szCs w:val="18"/>
              </w:rPr>
              <w:t xml:space="preserve"> require decolonial data practices that foreground Southern epistemologies.</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1C4102EC" w14:textId="77777777" w:rsidR="00765F7C" w:rsidRPr="005D612E" w:rsidRDefault="00000000">
            <w:pPr>
              <w:rPr>
                <w:rFonts w:ascii="Arial" w:hAnsi="Arial" w:cs="Arial"/>
                <w:color w:val="auto"/>
              </w:rPr>
            </w:pPr>
            <w:r w:rsidRPr="005D612E">
              <w:rPr>
                <w:rFonts w:ascii="Arial" w:hAnsi="Arial" w:cs="Arial"/>
                <w:color w:val="auto"/>
                <w:sz w:val="18"/>
                <w:szCs w:val="18"/>
              </w:rPr>
              <w:t>Primarily theoretical; Latin American focus; limited educational application.</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0519E4EA" w14:textId="77777777" w:rsidR="00765F7C" w:rsidRPr="005D612E" w:rsidRDefault="00000000">
            <w:pPr>
              <w:rPr>
                <w:rFonts w:ascii="Arial" w:hAnsi="Arial" w:cs="Arial"/>
                <w:color w:val="auto"/>
              </w:rPr>
            </w:pPr>
            <w:r w:rsidRPr="005D612E">
              <w:rPr>
                <w:rFonts w:ascii="Arial" w:hAnsi="Arial" w:cs="Arial"/>
                <w:color w:val="auto"/>
                <w:sz w:val="18"/>
                <w:szCs w:val="18"/>
              </w:rPr>
              <w:t>Decolonial data epistemologies in education; teacher and community data counter-practices.</w:t>
            </w:r>
          </w:p>
        </w:tc>
      </w:tr>
      <w:tr w:rsidR="00765F7C" w:rsidRPr="005D612E" w14:paraId="3E615075"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12C99157"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Selwyn, N.</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59D96EE0"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2020</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57F7107" w14:textId="77777777" w:rsidR="00765F7C" w:rsidRPr="005D612E" w:rsidRDefault="00000000">
            <w:pPr>
              <w:rPr>
                <w:rFonts w:ascii="Arial" w:hAnsi="Arial" w:cs="Arial"/>
                <w:color w:val="auto"/>
              </w:rPr>
            </w:pPr>
            <w:r w:rsidRPr="005D612E">
              <w:rPr>
                <w:rFonts w:ascii="Arial" w:hAnsi="Arial" w:cs="Arial"/>
                <w:i/>
                <w:iCs/>
                <w:color w:val="auto"/>
                <w:sz w:val="18"/>
                <w:szCs w:val="18"/>
              </w:rPr>
              <w:t>Should Robots Replace Teachers?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051FD15E" w14:textId="77777777" w:rsidR="00765F7C" w:rsidRPr="005D612E" w:rsidRDefault="00000000">
            <w:pPr>
              <w:rPr>
                <w:rFonts w:ascii="Arial" w:hAnsi="Arial" w:cs="Arial"/>
                <w:color w:val="auto"/>
              </w:rPr>
            </w:pPr>
            <w:r w:rsidRPr="005D612E">
              <w:rPr>
                <w:rFonts w:ascii="Arial" w:hAnsi="Arial" w:cs="Arial"/>
                <w:color w:val="auto"/>
                <w:sz w:val="18"/>
                <w:szCs w:val="18"/>
              </w:rPr>
              <w:t>Critically examines AI substitution discourse in education; argues AI cannot replicate the relational, ethical, and contextual dimensions of teacher work and that AI replacement threatens educational dignity.</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0AFC2FD" w14:textId="77777777" w:rsidR="00765F7C" w:rsidRPr="005D612E" w:rsidRDefault="00000000">
            <w:pPr>
              <w:rPr>
                <w:rFonts w:ascii="Arial" w:hAnsi="Arial" w:cs="Arial"/>
                <w:color w:val="auto"/>
              </w:rPr>
            </w:pPr>
            <w:r w:rsidRPr="005D612E">
              <w:rPr>
                <w:rFonts w:ascii="Arial" w:hAnsi="Arial" w:cs="Arial"/>
                <w:color w:val="auto"/>
                <w:sz w:val="18"/>
                <w:szCs w:val="18"/>
              </w:rPr>
              <w:t>Popular-academic hybrid; limited empirical depth; Global North assumptions about teacher professionalism.</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1D83475" w14:textId="77777777" w:rsidR="00765F7C" w:rsidRPr="005D612E" w:rsidRDefault="00000000">
            <w:pPr>
              <w:rPr>
                <w:rFonts w:ascii="Arial" w:hAnsi="Arial" w:cs="Arial"/>
                <w:color w:val="auto"/>
              </w:rPr>
            </w:pPr>
            <w:r w:rsidRPr="005D612E">
              <w:rPr>
                <w:rFonts w:ascii="Arial" w:hAnsi="Arial" w:cs="Arial"/>
                <w:color w:val="auto"/>
                <w:sz w:val="18"/>
                <w:szCs w:val="18"/>
              </w:rPr>
              <w:t>Empirical studies of AI substitution effects in Global South contexts; teacher perspectives on AI displacement.</w:t>
            </w:r>
          </w:p>
        </w:tc>
      </w:tr>
      <w:tr w:rsidR="00765F7C" w:rsidRPr="005D612E" w14:paraId="59309B72"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36587E2F"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Taylor, L., &amp; Broeders, D.</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7BED9734"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2015</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64CEA6B1" w14:textId="77777777" w:rsidR="00765F7C" w:rsidRPr="005D612E" w:rsidRDefault="00000000">
            <w:pPr>
              <w:rPr>
                <w:rFonts w:ascii="Arial" w:hAnsi="Arial" w:cs="Arial"/>
                <w:color w:val="auto"/>
              </w:rPr>
            </w:pPr>
            <w:r w:rsidRPr="005D612E">
              <w:rPr>
                <w:rFonts w:ascii="Arial" w:hAnsi="Arial" w:cs="Arial"/>
                <w:i/>
                <w:iCs/>
                <w:color w:val="auto"/>
                <w:sz w:val="18"/>
                <w:szCs w:val="18"/>
              </w:rPr>
              <w:t>In the Name of Development: Power, Profit and Datafication of the Global South</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66DDB76E" w14:textId="77777777" w:rsidR="00765F7C" w:rsidRPr="005D612E" w:rsidRDefault="00000000">
            <w:pPr>
              <w:rPr>
                <w:rFonts w:ascii="Arial" w:hAnsi="Arial" w:cs="Arial"/>
                <w:color w:val="auto"/>
              </w:rPr>
            </w:pPr>
            <w:r w:rsidRPr="005D612E">
              <w:rPr>
                <w:rFonts w:ascii="Arial" w:hAnsi="Arial" w:cs="Arial"/>
                <w:color w:val="auto"/>
                <w:sz w:val="18"/>
                <w:szCs w:val="18"/>
              </w:rPr>
              <w:t>International development programmes use data extraction in the name of poverty alleviation, reproducing colonial power relations and serving institutional and commercial interests over those of datafied communities.</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62D2DCB6" w14:textId="77777777" w:rsidR="00765F7C" w:rsidRPr="005D612E" w:rsidRDefault="00000000">
            <w:pPr>
              <w:rPr>
                <w:rFonts w:ascii="Arial" w:hAnsi="Arial" w:cs="Arial"/>
                <w:color w:val="auto"/>
              </w:rPr>
            </w:pPr>
            <w:r w:rsidRPr="005D612E">
              <w:rPr>
                <w:rFonts w:ascii="Arial" w:hAnsi="Arial" w:cs="Arial"/>
                <w:color w:val="auto"/>
                <w:sz w:val="18"/>
                <w:szCs w:val="18"/>
              </w:rPr>
              <w:t>Focuses on humanitarian and development sectors; limited direct educational governance application.</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4E6A2595" w14:textId="77777777" w:rsidR="00765F7C" w:rsidRPr="005D612E" w:rsidRDefault="00000000">
            <w:pPr>
              <w:rPr>
                <w:rFonts w:ascii="Arial" w:hAnsi="Arial" w:cs="Arial"/>
                <w:color w:val="auto"/>
              </w:rPr>
            </w:pPr>
            <w:r w:rsidRPr="005D612E">
              <w:rPr>
                <w:rFonts w:ascii="Arial" w:hAnsi="Arial" w:cs="Arial"/>
                <w:color w:val="auto"/>
                <w:sz w:val="18"/>
                <w:szCs w:val="18"/>
              </w:rPr>
              <w:t>Datafication of education through international development lenses; World Bank EMIS programmes.</w:t>
            </w:r>
          </w:p>
        </w:tc>
      </w:tr>
      <w:tr w:rsidR="00765F7C" w:rsidRPr="005D612E" w14:paraId="29955AFE"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658AA569"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Thomas, M.A.M., Serenje, J., &amp; Chipindi, F.M.</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12F8AC13"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2023</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68EE2333" w14:textId="77777777" w:rsidR="00765F7C" w:rsidRPr="005D612E" w:rsidRDefault="00000000">
            <w:pPr>
              <w:rPr>
                <w:rFonts w:ascii="Arial" w:hAnsi="Arial" w:cs="Arial"/>
                <w:color w:val="auto"/>
              </w:rPr>
            </w:pPr>
            <w:r w:rsidRPr="005D612E">
              <w:rPr>
                <w:rFonts w:ascii="Arial" w:hAnsi="Arial" w:cs="Arial"/>
                <w:i/>
                <w:iCs/>
                <w:color w:val="auto"/>
                <w:sz w:val="18"/>
                <w:szCs w:val="18"/>
              </w:rPr>
              <w:t>Reconsidering and Teaching Sociologies in Zambian Teacher Education</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12C9549D" w14:textId="77777777" w:rsidR="00765F7C" w:rsidRPr="005D612E" w:rsidRDefault="00000000">
            <w:pPr>
              <w:rPr>
                <w:rFonts w:ascii="Arial" w:hAnsi="Arial" w:cs="Arial"/>
                <w:color w:val="auto"/>
              </w:rPr>
            </w:pPr>
            <w:r w:rsidRPr="005D612E">
              <w:rPr>
                <w:rFonts w:ascii="Arial" w:hAnsi="Arial" w:cs="Arial"/>
                <w:color w:val="auto"/>
                <w:sz w:val="18"/>
                <w:szCs w:val="18"/>
              </w:rPr>
              <w:t>Proposes reframing postcolonial teachers as 'knowers' whose locally embedded knowledge constitutes legitimate challenge to global educational orthodoxies; curriculum must honour Southern sociologies.</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50BFD2E4" w14:textId="77777777" w:rsidR="00765F7C" w:rsidRPr="005D612E" w:rsidRDefault="00000000">
            <w:pPr>
              <w:rPr>
                <w:rFonts w:ascii="Arial" w:hAnsi="Arial" w:cs="Arial"/>
                <w:color w:val="auto"/>
              </w:rPr>
            </w:pPr>
            <w:r w:rsidRPr="005D612E">
              <w:rPr>
                <w:rFonts w:ascii="Arial" w:hAnsi="Arial" w:cs="Arial"/>
                <w:color w:val="auto"/>
                <w:sz w:val="18"/>
                <w:szCs w:val="18"/>
              </w:rPr>
              <w:t>Zambian context; teacher education focus; datafication not primary concern.</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6A0A5615" w14:textId="77777777" w:rsidR="00765F7C" w:rsidRPr="005D612E" w:rsidRDefault="00000000">
            <w:pPr>
              <w:rPr>
                <w:rFonts w:ascii="Arial" w:hAnsi="Arial" w:cs="Arial"/>
                <w:color w:val="auto"/>
              </w:rPr>
            </w:pPr>
            <w:r w:rsidRPr="005D612E">
              <w:rPr>
                <w:rFonts w:ascii="Arial" w:hAnsi="Arial" w:cs="Arial"/>
                <w:color w:val="auto"/>
                <w:sz w:val="18"/>
                <w:szCs w:val="18"/>
              </w:rPr>
              <w:t>Postcolonial teacher knowledge frameworks applied to datafication resistance; Southern EMIS epistemologies.</w:t>
            </w:r>
          </w:p>
        </w:tc>
      </w:tr>
      <w:tr w:rsidR="00765F7C" w:rsidRPr="005D612E" w14:paraId="4B4663F4"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61D0834F"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Tikly, L.</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174A6104"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2020</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B789ED6" w14:textId="77777777" w:rsidR="00765F7C" w:rsidRPr="005D612E" w:rsidRDefault="00000000">
            <w:pPr>
              <w:rPr>
                <w:rFonts w:ascii="Arial" w:hAnsi="Arial" w:cs="Arial"/>
                <w:color w:val="auto"/>
              </w:rPr>
            </w:pPr>
            <w:r w:rsidRPr="005D612E">
              <w:rPr>
                <w:rFonts w:ascii="Arial" w:hAnsi="Arial" w:cs="Arial"/>
                <w:i/>
                <w:iCs/>
                <w:color w:val="auto"/>
                <w:sz w:val="18"/>
                <w:szCs w:val="18"/>
              </w:rPr>
              <w:t>Education for Sustainable Development in the Postcolonial World</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D723D0C" w14:textId="77777777" w:rsidR="00765F7C" w:rsidRPr="005D612E" w:rsidRDefault="00000000">
            <w:pPr>
              <w:rPr>
                <w:rFonts w:ascii="Arial" w:hAnsi="Arial" w:cs="Arial"/>
                <w:color w:val="auto"/>
              </w:rPr>
            </w:pPr>
            <w:r w:rsidRPr="005D612E">
              <w:rPr>
                <w:rFonts w:ascii="Arial" w:hAnsi="Arial" w:cs="Arial"/>
                <w:color w:val="auto"/>
                <w:sz w:val="18"/>
                <w:szCs w:val="18"/>
              </w:rPr>
              <w:t>Argues that education for sustainable development must be grounded in postcolonial critique; decolonising education requires attending to colonial histories of knowledge suppression.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229CF63D" w14:textId="77777777" w:rsidR="00765F7C" w:rsidRPr="005D612E" w:rsidRDefault="00000000">
            <w:pPr>
              <w:rPr>
                <w:rFonts w:ascii="Arial" w:hAnsi="Arial" w:cs="Arial"/>
                <w:color w:val="auto"/>
              </w:rPr>
            </w:pPr>
            <w:r w:rsidRPr="005D612E">
              <w:rPr>
                <w:rFonts w:ascii="Arial" w:hAnsi="Arial" w:cs="Arial"/>
                <w:color w:val="auto"/>
                <w:sz w:val="18"/>
                <w:szCs w:val="18"/>
              </w:rPr>
              <w:t>Primarily normative-philosophical; limited empirical data; Africa focus.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A9F45D1" w14:textId="77777777" w:rsidR="00765F7C" w:rsidRPr="005D612E" w:rsidRDefault="00000000">
            <w:pPr>
              <w:rPr>
                <w:rFonts w:ascii="Arial" w:hAnsi="Arial" w:cs="Arial"/>
                <w:color w:val="auto"/>
              </w:rPr>
            </w:pPr>
            <w:r w:rsidRPr="005D612E">
              <w:rPr>
                <w:rFonts w:ascii="Arial" w:hAnsi="Arial" w:cs="Arial"/>
                <w:color w:val="auto"/>
                <w:sz w:val="18"/>
                <w:szCs w:val="18"/>
              </w:rPr>
              <w:t>Postcolonial educational sustainability frameworks applied to technology governance.</w:t>
            </w:r>
          </w:p>
        </w:tc>
      </w:tr>
      <w:tr w:rsidR="00765F7C" w:rsidRPr="005D612E" w14:paraId="295F8F54"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40892DCD"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UNESCO</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69AEE89D"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2023</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61EB263" w14:textId="6C5CBD1D" w:rsidR="00765F7C" w:rsidRPr="005D612E" w:rsidRDefault="00000000">
            <w:pPr>
              <w:rPr>
                <w:rFonts w:ascii="Arial" w:hAnsi="Arial" w:cs="Arial"/>
                <w:color w:val="auto"/>
              </w:rPr>
            </w:pPr>
            <w:r w:rsidRPr="005D612E">
              <w:rPr>
                <w:rFonts w:ascii="Arial" w:hAnsi="Arial" w:cs="Arial"/>
                <w:i/>
                <w:iCs/>
                <w:color w:val="auto"/>
                <w:sz w:val="18"/>
                <w:szCs w:val="18"/>
              </w:rPr>
              <w:t xml:space="preserve">GEM Report: Technology in </w:t>
            </w:r>
            <w:proofErr w:type="spellStart"/>
            <w:proofErr w:type="gramStart"/>
            <w:r w:rsidRPr="005D612E">
              <w:rPr>
                <w:rFonts w:ascii="Arial" w:hAnsi="Arial" w:cs="Arial"/>
                <w:i/>
                <w:iCs/>
                <w:color w:val="auto"/>
                <w:sz w:val="18"/>
                <w:szCs w:val="18"/>
              </w:rPr>
              <w:t>Education</w:t>
            </w:r>
            <w:r w:rsidR="00536781">
              <w:rPr>
                <w:rFonts w:ascii="Arial" w:hAnsi="Arial" w:cs="Arial"/>
                <w:i/>
                <w:iCs/>
                <w:color w:val="auto"/>
                <w:sz w:val="18"/>
                <w:szCs w:val="18"/>
              </w:rPr>
              <w:t>,</w:t>
            </w:r>
            <w:r w:rsidRPr="005D612E">
              <w:rPr>
                <w:rFonts w:ascii="Arial" w:hAnsi="Arial" w:cs="Arial"/>
                <w:i/>
                <w:iCs/>
                <w:color w:val="auto"/>
                <w:sz w:val="18"/>
                <w:szCs w:val="18"/>
              </w:rPr>
              <w:t>A</w:t>
            </w:r>
            <w:proofErr w:type="spellEnd"/>
            <w:proofErr w:type="gramEnd"/>
            <w:r w:rsidRPr="005D612E">
              <w:rPr>
                <w:rFonts w:ascii="Arial" w:hAnsi="Arial" w:cs="Arial"/>
                <w:i/>
                <w:iCs/>
                <w:color w:val="auto"/>
                <w:sz w:val="18"/>
                <w:szCs w:val="18"/>
              </w:rPr>
              <w:t xml:space="preserve"> Tool on Whose Terms?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2AE7AA0" w14:textId="77777777" w:rsidR="00765F7C" w:rsidRPr="005D612E" w:rsidRDefault="00000000">
            <w:pPr>
              <w:rPr>
                <w:rFonts w:ascii="Arial" w:hAnsi="Arial" w:cs="Arial"/>
                <w:color w:val="auto"/>
              </w:rPr>
            </w:pPr>
            <w:r w:rsidRPr="005D612E">
              <w:rPr>
                <w:rFonts w:ascii="Arial" w:hAnsi="Arial" w:cs="Arial"/>
                <w:color w:val="auto"/>
                <w:sz w:val="18"/>
                <w:szCs w:val="18"/>
              </w:rPr>
              <w:t>Only 39% of education systems have AI governance policies; EdTech benefits are unevenly distributed and governance frameworks are absent or underdeveloped in most low-income contexts; critical framing of tech utopianism.</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AA30CF0" w14:textId="77777777" w:rsidR="00765F7C" w:rsidRPr="005D612E" w:rsidRDefault="00000000">
            <w:pPr>
              <w:rPr>
                <w:rFonts w:ascii="Arial" w:hAnsi="Arial" w:cs="Arial"/>
                <w:color w:val="auto"/>
              </w:rPr>
            </w:pPr>
            <w:r w:rsidRPr="005D612E">
              <w:rPr>
                <w:rFonts w:ascii="Arial" w:hAnsi="Arial" w:cs="Arial"/>
                <w:color w:val="auto"/>
                <w:sz w:val="18"/>
                <w:szCs w:val="18"/>
              </w:rPr>
              <w:t>Policy report; limited empirical depth; advocacy framing.</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6C343198" w14:textId="77777777" w:rsidR="00765F7C" w:rsidRPr="005D612E" w:rsidRDefault="00000000">
            <w:pPr>
              <w:rPr>
                <w:rFonts w:ascii="Arial" w:hAnsi="Arial" w:cs="Arial"/>
                <w:color w:val="auto"/>
              </w:rPr>
            </w:pPr>
            <w:r w:rsidRPr="005D612E">
              <w:rPr>
                <w:rFonts w:ascii="Arial" w:hAnsi="Arial" w:cs="Arial"/>
                <w:color w:val="auto"/>
                <w:sz w:val="18"/>
                <w:szCs w:val="18"/>
              </w:rPr>
              <w:t>Empirical studies of AI governance gaps in specific LMICs; implementation research on UNESCO recommendations.</w:t>
            </w:r>
          </w:p>
        </w:tc>
      </w:tr>
      <w:tr w:rsidR="00765F7C" w:rsidRPr="005D612E" w14:paraId="4DCBDE50"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vAlign w:val="center"/>
          </w:tcPr>
          <w:p w14:paraId="520A4DC6"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UNICEF Innocenti</w:t>
            </w:r>
          </w:p>
        </w:tc>
        <w:tc>
          <w:tcPr>
            <w:tcW w:w="793"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extDirection w:val="btLr"/>
            <w:vAlign w:val="center"/>
          </w:tcPr>
          <w:p w14:paraId="705690F9"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2025</w:t>
            </w:r>
          </w:p>
        </w:tc>
        <w:tc>
          <w:tcPr>
            <w:tcW w:w="1301" w:type="dxa"/>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44049DD0" w14:textId="77777777" w:rsidR="00765F7C" w:rsidRPr="005D612E" w:rsidRDefault="00000000">
            <w:pPr>
              <w:rPr>
                <w:rFonts w:ascii="Arial" w:hAnsi="Arial" w:cs="Arial"/>
                <w:color w:val="auto"/>
              </w:rPr>
            </w:pPr>
            <w:r w:rsidRPr="005D612E">
              <w:rPr>
                <w:rFonts w:ascii="Arial" w:hAnsi="Arial" w:cs="Arial"/>
                <w:i/>
                <w:iCs/>
                <w:color w:val="auto"/>
                <w:sz w:val="18"/>
                <w:szCs w:val="18"/>
              </w:rPr>
              <w:t>Data Governance for EdTech</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00270A0F" w14:textId="77777777" w:rsidR="00765F7C" w:rsidRPr="005D612E" w:rsidRDefault="00000000">
            <w:pPr>
              <w:rPr>
                <w:rFonts w:ascii="Arial" w:hAnsi="Arial" w:cs="Arial"/>
                <w:color w:val="auto"/>
              </w:rPr>
            </w:pPr>
            <w:r w:rsidRPr="005D612E">
              <w:rPr>
                <w:rFonts w:ascii="Arial" w:hAnsi="Arial" w:cs="Arial"/>
                <w:color w:val="auto"/>
                <w:sz w:val="18"/>
                <w:szCs w:val="18"/>
              </w:rPr>
              <w:t>Documents weak data protection frameworks in EdTech globally; children's rights are systematically unprotected by current governance arrangements; Global South contexts especially vulnerable.</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74B99E96" w14:textId="77777777" w:rsidR="00765F7C" w:rsidRPr="005D612E" w:rsidRDefault="00000000">
            <w:pPr>
              <w:rPr>
                <w:rFonts w:ascii="Arial" w:hAnsi="Arial" w:cs="Arial"/>
                <w:color w:val="auto"/>
              </w:rPr>
            </w:pPr>
            <w:r w:rsidRPr="005D612E">
              <w:rPr>
                <w:rFonts w:ascii="Arial" w:hAnsi="Arial" w:cs="Arial"/>
                <w:color w:val="auto"/>
                <w:sz w:val="18"/>
                <w:szCs w:val="18"/>
              </w:rPr>
              <w:t>Policy report; limited qualitative depth; focused on privacy/protection rather than power.</w:t>
            </w:r>
          </w:p>
        </w:tc>
        <w:tc>
          <w:tcPr>
            <w:tcW w:w="0" w:type="auto"/>
            <w:tcBorders>
              <w:top w:val="single" w:sz="4" w:space="0" w:color="BBBBBB"/>
              <w:left w:val="single" w:sz="4" w:space="0" w:color="BBBBBB"/>
              <w:bottom w:val="single" w:sz="4" w:space="0" w:color="BBBBBB"/>
              <w:right w:val="single" w:sz="4" w:space="0" w:color="BBBBBB"/>
            </w:tcBorders>
            <w:shd w:val="clear" w:color="auto" w:fill="F2F4F7"/>
            <w:tcMar>
              <w:top w:w="80" w:type="dxa"/>
              <w:left w:w="140" w:type="dxa"/>
              <w:bottom w:w="80" w:type="dxa"/>
              <w:right w:w="140" w:type="dxa"/>
            </w:tcMar>
          </w:tcPr>
          <w:p w14:paraId="1005E917" w14:textId="77777777" w:rsidR="00765F7C" w:rsidRPr="005D612E" w:rsidRDefault="00000000">
            <w:pPr>
              <w:rPr>
                <w:rFonts w:ascii="Arial" w:hAnsi="Arial" w:cs="Arial"/>
                <w:color w:val="auto"/>
              </w:rPr>
            </w:pPr>
            <w:r w:rsidRPr="005D612E">
              <w:rPr>
                <w:rFonts w:ascii="Arial" w:hAnsi="Arial" w:cs="Arial"/>
                <w:color w:val="auto"/>
                <w:sz w:val="18"/>
                <w:szCs w:val="18"/>
              </w:rPr>
              <w:t>Critical studies of children's data governance in Southern public schools; EMIS accountability mechanisms.</w:t>
            </w:r>
          </w:p>
        </w:tc>
      </w:tr>
      <w:tr w:rsidR="00765F7C" w:rsidRPr="005D612E" w14:paraId="7087C673" w14:textId="77777777" w:rsidTr="005D612E">
        <w:trPr>
          <w:cantSplit/>
          <w:trHeight w:val="1134"/>
        </w:trPr>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vAlign w:val="center"/>
          </w:tcPr>
          <w:p w14:paraId="564AF0B8" w14:textId="77777777" w:rsidR="00765F7C" w:rsidRPr="005D612E" w:rsidRDefault="00000000" w:rsidP="005D612E">
            <w:pPr>
              <w:jc w:val="center"/>
              <w:rPr>
                <w:rFonts w:ascii="Arial" w:hAnsi="Arial" w:cs="Arial"/>
                <w:color w:val="auto"/>
              </w:rPr>
            </w:pPr>
            <w:r w:rsidRPr="005D612E">
              <w:rPr>
                <w:rFonts w:ascii="Arial" w:hAnsi="Arial" w:cs="Arial"/>
                <w:color w:val="auto"/>
                <w:sz w:val="18"/>
                <w:szCs w:val="18"/>
              </w:rPr>
              <w:t>Williamson, B.</w:t>
            </w:r>
          </w:p>
        </w:tc>
        <w:tc>
          <w:tcPr>
            <w:tcW w:w="793"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extDirection w:val="btLr"/>
            <w:vAlign w:val="center"/>
          </w:tcPr>
          <w:p w14:paraId="1401AED2" w14:textId="77777777" w:rsidR="00765F7C" w:rsidRPr="005D612E" w:rsidRDefault="00000000" w:rsidP="005D612E">
            <w:pPr>
              <w:ind w:left="113" w:right="113"/>
              <w:jc w:val="center"/>
              <w:rPr>
                <w:rFonts w:ascii="Arial" w:hAnsi="Arial" w:cs="Arial"/>
                <w:color w:val="auto"/>
              </w:rPr>
            </w:pPr>
            <w:r w:rsidRPr="005D612E">
              <w:rPr>
                <w:rFonts w:ascii="Arial" w:hAnsi="Arial" w:cs="Arial"/>
                <w:color w:val="auto"/>
                <w:sz w:val="18"/>
                <w:szCs w:val="18"/>
              </w:rPr>
              <w:t>2017</w:t>
            </w:r>
          </w:p>
        </w:tc>
        <w:tc>
          <w:tcPr>
            <w:tcW w:w="1301" w:type="dxa"/>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1F9C57F4" w14:textId="77777777" w:rsidR="00765F7C" w:rsidRPr="005D612E" w:rsidRDefault="00000000">
            <w:pPr>
              <w:rPr>
                <w:rFonts w:ascii="Arial" w:hAnsi="Arial" w:cs="Arial"/>
                <w:color w:val="auto"/>
              </w:rPr>
            </w:pPr>
            <w:r w:rsidRPr="005D612E">
              <w:rPr>
                <w:rFonts w:ascii="Arial" w:hAnsi="Arial" w:cs="Arial"/>
                <w:i/>
                <w:iCs/>
                <w:color w:val="auto"/>
                <w:sz w:val="18"/>
                <w:szCs w:val="18"/>
              </w:rPr>
              <w:t>Big Data in Education</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4BE6DED1" w14:textId="77777777" w:rsidR="00765F7C" w:rsidRPr="005D612E" w:rsidRDefault="00000000">
            <w:pPr>
              <w:rPr>
                <w:rFonts w:ascii="Arial" w:hAnsi="Arial" w:cs="Arial"/>
                <w:color w:val="auto"/>
              </w:rPr>
            </w:pPr>
            <w:r w:rsidRPr="005D612E">
              <w:rPr>
                <w:rFonts w:ascii="Arial" w:hAnsi="Arial" w:cs="Arial"/>
                <w:color w:val="auto"/>
                <w:sz w:val="18"/>
                <w:szCs w:val="18"/>
              </w:rPr>
              <w:t>Examines how 'big data' is mobilised to remake education policy and practice; introduces 'digital education governance' as an analytical concept; maps actors, interests, and infrastructures.</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72FED416" w14:textId="77777777" w:rsidR="00765F7C" w:rsidRPr="005D612E" w:rsidRDefault="00000000">
            <w:pPr>
              <w:rPr>
                <w:rFonts w:ascii="Arial" w:hAnsi="Arial" w:cs="Arial"/>
                <w:color w:val="auto"/>
              </w:rPr>
            </w:pPr>
            <w:r w:rsidRPr="005D612E">
              <w:rPr>
                <w:rFonts w:ascii="Arial" w:hAnsi="Arial" w:cs="Arial"/>
                <w:color w:val="auto"/>
                <w:sz w:val="18"/>
                <w:szCs w:val="18"/>
              </w:rPr>
              <w:t>UK and US focus; primarily policy and platform analysis; limited classroom-level empirical grounding.</w:t>
            </w:r>
          </w:p>
        </w:tc>
        <w:tc>
          <w:tcPr>
            <w:tcW w:w="0" w:type="auto"/>
            <w:tcBorders>
              <w:top w:val="single" w:sz="4" w:space="0" w:color="BBBBBB"/>
              <w:left w:val="single" w:sz="4" w:space="0" w:color="BBBBBB"/>
              <w:bottom w:val="single" w:sz="4" w:space="0" w:color="BBBBBB"/>
              <w:right w:val="single" w:sz="4" w:space="0" w:color="BBBBBB"/>
            </w:tcBorders>
            <w:shd w:val="clear" w:color="auto" w:fill="FFFFFF"/>
            <w:tcMar>
              <w:top w:w="80" w:type="dxa"/>
              <w:left w:w="140" w:type="dxa"/>
              <w:bottom w:w="80" w:type="dxa"/>
              <w:right w:w="140" w:type="dxa"/>
            </w:tcMar>
          </w:tcPr>
          <w:p w14:paraId="351B39DE" w14:textId="77777777" w:rsidR="00765F7C" w:rsidRPr="005D612E" w:rsidRDefault="00000000">
            <w:pPr>
              <w:rPr>
                <w:rFonts w:ascii="Arial" w:hAnsi="Arial" w:cs="Arial"/>
                <w:color w:val="auto"/>
              </w:rPr>
            </w:pPr>
            <w:r w:rsidRPr="005D612E">
              <w:rPr>
                <w:rFonts w:ascii="Arial" w:hAnsi="Arial" w:cs="Arial"/>
                <w:color w:val="auto"/>
                <w:sz w:val="18"/>
                <w:szCs w:val="18"/>
              </w:rPr>
              <w:t>Comparative big data governance analyses in Global South; classroom-level datafication studies.</w:t>
            </w:r>
          </w:p>
        </w:tc>
      </w:tr>
    </w:tbl>
    <w:p w14:paraId="48656214" w14:textId="1AA774FC" w:rsidR="00765F7C" w:rsidRPr="005D612E" w:rsidRDefault="00000000" w:rsidP="00E72C3E">
      <w:pPr>
        <w:spacing w:before="40" w:after="80"/>
        <w:rPr>
          <w:rFonts w:ascii="Arial" w:hAnsi="Arial" w:cs="Arial"/>
          <w:color w:val="auto"/>
        </w:rPr>
      </w:pPr>
      <w:r w:rsidRPr="005D612E">
        <w:rPr>
          <w:rFonts w:ascii="Arial" w:eastAsia="Calibri" w:hAnsi="Arial" w:cs="Arial"/>
          <w:i/>
          <w:iCs/>
          <w:color w:val="auto"/>
          <w:sz w:val="18"/>
          <w:szCs w:val="18"/>
        </w:rPr>
        <w:t>Note. Shading alternates by row for readability. Limitations and future studies reflect those stated or inferable from each source. 'Year' refers to publication year as cited in text.</w:t>
      </w:r>
    </w:p>
    <w:p w14:paraId="61D776C6" w14:textId="6352175F" w:rsidR="005D612E" w:rsidRDefault="005D612E" w:rsidP="005D612E">
      <w:pPr>
        <w:pStyle w:val="Heading2"/>
      </w:pPr>
      <w:r>
        <w:t>6. Analytical Themes</w:t>
      </w:r>
    </w:p>
    <w:p w14:paraId="1B4CC9D8" w14:textId="2101EC6B" w:rsidR="00765F7C" w:rsidRPr="005D612E" w:rsidRDefault="00000000" w:rsidP="00D56A07">
      <w:pPr>
        <w:rPr>
          <w:rFonts w:ascii="Arial" w:hAnsi="Arial" w:cs="Arial"/>
          <w:color w:val="auto"/>
        </w:rPr>
      </w:pPr>
      <w:r w:rsidRPr="005D612E">
        <w:rPr>
          <w:rFonts w:ascii="Arial" w:hAnsi="Arial" w:cs="Arial"/>
          <w:color w:val="auto"/>
        </w:rPr>
        <w:t>The following four themes were generated through thematic synthesis of the 42 included studies. Each theme is analytically distinct and empirically grounded, but the themes are also interconnected: together they constitute the structural logic of what the DCE framework names as datafied coloniality in education.</w:t>
      </w:r>
    </w:p>
    <w:p w14:paraId="6BE8118C" w14:textId="77777777" w:rsidR="00765F7C" w:rsidRPr="005D612E" w:rsidRDefault="00000000" w:rsidP="005D612E">
      <w:pPr>
        <w:pStyle w:val="Heading3"/>
      </w:pPr>
      <w:r w:rsidRPr="005D612E">
        <w:t>6.1 Theme 1: Colonial Knowledge Logics in Educational Data Governance</w:t>
      </w:r>
    </w:p>
    <w:p w14:paraId="40F61CE6" w14:textId="77777777" w:rsidR="00765F7C" w:rsidRPr="005D612E" w:rsidRDefault="00000000" w:rsidP="005D612E">
      <w:pPr>
        <w:rPr>
          <w:b/>
          <w:bCs/>
        </w:rPr>
      </w:pPr>
      <w:r w:rsidRPr="005D612E">
        <w:rPr>
          <w:b/>
          <w:bCs/>
        </w:rPr>
        <w:t>6.1.1 The Epistemic Geography of Educational Datafication Research</w:t>
      </w:r>
    </w:p>
    <w:p w14:paraId="3CBF72E7" w14:textId="066A21A6" w:rsidR="00765F7C" w:rsidRDefault="00000000" w:rsidP="00D56A07">
      <w:pPr>
        <w:rPr>
          <w:rFonts w:ascii="Arial" w:hAnsi="Arial" w:cs="Arial"/>
          <w:color w:val="auto"/>
        </w:rPr>
      </w:pPr>
      <w:r w:rsidRPr="005D612E">
        <w:rPr>
          <w:rFonts w:ascii="Arial" w:hAnsi="Arial" w:cs="Arial"/>
          <w:color w:val="auto"/>
        </w:rPr>
        <w:t>The most structurally significant finding to emerge from the synthesis is the deeply uneven epistemic geography of critical educational datafication scholarship. The overwhelming empirical base of the field derives from a small cluster of high-income countries</w:t>
      </w:r>
      <w:r w:rsidR="00536781">
        <w:rPr>
          <w:rFonts w:ascii="Arial" w:hAnsi="Arial" w:cs="Arial"/>
          <w:color w:val="auto"/>
        </w:rPr>
        <w:t>,</w:t>
      </w:r>
      <w:r w:rsidRPr="005D612E">
        <w:rPr>
          <w:rFonts w:ascii="Arial" w:hAnsi="Arial" w:cs="Arial"/>
          <w:color w:val="auto"/>
        </w:rPr>
        <w:t xml:space="preserve"> the United Kingdom, Australia, and the United States</w:t>
      </w:r>
      <w:r w:rsidR="00536781">
        <w:rPr>
          <w:rFonts w:ascii="Arial" w:hAnsi="Arial" w:cs="Arial"/>
          <w:color w:val="auto"/>
        </w:rPr>
        <w:t>,</w:t>
      </w:r>
      <w:r w:rsidRPr="005D612E">
        <w:rPr>
          <w:rFonts w:ascii="Arial" w:hAnsi="Arial" w:cs="Arial"/>
          <w:color w:val="auto"/>
        </w:rPr>
        <w:t xml:space="preserve"> whose school systems are characterised by stable digital infrastructure, professionally protected teaching workforces, and established regulatory frameworks for data governance (Pangrazio et al., 2023; Selwyn, 2015). This is not simply a question of coverage. When the institutional baseline for critical analysis is a well-resourced school in a high-income country, the analytical lens is calibrated accordingly: the dominant concerns are the erosion of already-strong professional discretion, the narrowing of already-rich pedagogical repertoires, and privacy incursions against already-protected subjects. These are legitimate concerns, but they map poorly onto contexts where teacher professional autonomy is structurally absent to begin with, where digital infrastructure is unreliable or nonexistent, and where EMIS data governance is experienced not as privacy incursion but as an additional bureaucratic burden compounding pre-existing material deprivation.</w:t>
      </w:r>
    </w:p>
    <w:p w14:paraId="0F59AE90" w14:textId="77777777" w:rsidR="00536781" w:rsidRDefault="00536781" w:rsidP="00D56A07">
      <w:pPr>
        <w:rPr>
          <w:rFonts w:ascii="Arial" w:hAnsi="Arial" w:cs="Arial"/>
          <w:color w:val="auto"/>
        </w:rPr>
      </w:pPr>
    </w:p>
    <w:p w14:paraId="2341D1F6" w14:textId="77777777" w:rsidR="00536781" w:rsidRPr="005D612E" w:rsidRDefault="00536781" w:rsidP="00D56A07">
      <w:pPr>
        <w:rPr>
          <w:rFonts w:ascii="Arial" w:hAnsi="Arial" w:cs="Arial"/>
          <w:color w:val="auto"/>
        </w:rPr>
      </w:pPr>
    </w:p>
    <w:p w14:paraId="17A7EF79" w14:textId="77777777" w:rsidR="00765F7C" w:rsidRPr="005D612E" w:rsidRDefault="00000000" w:rsidP="005D612E">
      <w:pPr>
        <w:rPr>
          <w:b/>
          <w:bCs/>
        </w:rPr>
      </w:pPr>
      <w:r w:rsidRPr="005D612E">
        <w:rPr>
          <w:b/>
          <w:bCs/>
        </w:rPr>
        <w:t>6.1.2 Data Universalism and the Transfer Problem</w:t>
      </w:r>
    </w:p>
    <w:p w14:paraId="209AA97C" w14:textId="041920C7" w:rsidR="00765F7C" w:rsidRPr="005D612E" w:rsidRDefault="00000000" w:rsidP="007B1DEA">
      <w:pPr>
        <w:rPr>
          <w:rFonts w:ascii="Arial" w:hAnsi="Arial" w:cs="Arial"/>
          <w:color w:val="auto"/>
        </w:rPr>
      </w:pPr>
      <w:r w:rsidRPr="005D612E">
        <w:rPr>
          <w:rFonts w:ascii="Arial" w:hAnsi="Arial" w:cs="Arial"/>
          <w:color w:val="auto"/>
        </w:rPr>
        <w:t>Milan and Treré's (2019) concept of data universalism</w:t>
      </w:r>
      <w:r w:rsidR="00536781">
        <w:rPr>
          <w:rFonts w:ascii="Arial" w:hAnsi="Arial" w:cs="Arial"/>
          <w:color w:val="auto"/>
        </w:rPr>
        <w:t>,</w:t>
      </w:r>
      <w:r w:rsidRPr="005D612E">
        <w:rPr>
          <w:rFonts w:ascii="Arial" w:hAnsi="Arial" w:cs="Arial"/>
          <w:color w:val="auto"/>
        </w:rPr>
        <w:t xml:space="preserve"> the epistemic hubris of treating datafication as operating outside history and context</w:t>
      </w:r>
      <w:r w:rsidR="00536781">
        <w:rPr>
          <w:rFonts w:ascii="Arial" w:hAnsi="Arial" w:cs="Arial"/>
          <w:color w:val="auto"/>
        </w:rPr>
        <w:t>,</w:t>
      </w:r>
      <w:r w:rsidRPr="005D612E">
        <w:rPr>
          <w:rFonts w:ascii="Arial" w:hAnsi="Arial" w:cs="Arial"/>
          <w:color w:val="auto"/>
        </w:rPr>
        <w:t xml:space="preserve"> is nowhere more consequential than in international development-funded educational digitisation programmes. The World Bank (2022), UNESCO (2023), and bilateral development agencies have actively promoted digital EMIS systems in Global South school systems as instruments of accountability and improvement, embedding in their technical architectures assumptions about administrative capacity, reliable internet connectivity, teacher digital literacy, and the existence of accurate historical baseline data that are routinely absent in the contexts targeted (Taylor &amp; Broeders, 2015; UNICEF, 2025). The consequence is not merely technical inefficiency. When a datafied accountability system premised on a particular institutional model is imposed on an incompatible institutional reality, it produces epistemic violence: it renders the contextually embedded, relational knowledge of experienced teachers systematically invisible to the governance apparatus, while generating numerical outputs that appear to offer authoritative accounts of institutional performance (Gray, 2023; Ricaurte, 2019).</w:t>
      </w:r>
    </w:p>
    <w:p w14:paraId="0272A09C" w14:textId="77777777" w:rsidR="00765F7C" w:rsidRPr="005D612E" w:rsidRDefault="00000000" w:rsidP="005D612E">
      <w:pPr>
        <w:pStyle w:val="Heading3"/>
      </w:pPr>
      <w:r w:rsidRPr="005D612E">
        <w:t>6.2 Theme 2: Algorithmic Managerialism and the Erosion of Teacher Professional Autonomy</w:t>
      </w:r>
    </w:p>
    <w:p w14:paraId="028841A4" w14:textId="77777777" w:rsidR="00765F7C" w:rsidRPr="005D612E" w:rsidRDefault="00000000" w:rsidP="005D612E">
      <w:pPr>
        <w:rPr>
          <w:b/>
          <w:bCs/>
        </w:rPr>
      </w:pPr>
      <w:r w:rsidRPr="005D612E">
        <w:rPr>
          <w:b/>
          <w:bCs/>
        </w:rPr>
        <w:t>6.2.1 From Professional Judgment to Compliance Metrics</w:t>
      </w:r>
    </w:p>
    <w:p w14:paraId="404AD033" w14:textId="48762DD9" w:rsidR="00765F7C" w:rsidRPr="005D612E" w:rsidRDefault="00000000" w:rsidP="007B1DEA">
      <w:pPr>
        <w:rPr>
          <w:rFonts w:ascii="Arial" w:hAnsi="Arial" w:cs="Arial"/>
          <w:color w:val="auto"/>
        </w:rPr>
      </w:pPr>
      <w:r w:rsidRPr="005D612E">
        <w:rPr>
          <w:rFonts w:ascii="Arial" w:hAnsi="Arial" w:cs="Arial"/>
          <w:color w:val="auto"/>
        </w:rPr>
        <w:t>The transformation of teacher work under datafied governance represents the most robustly documented theme in the included corpus. Bradbury and Roberts-Holmes (2017) demonstrate how the datafication of primary schooling in England produces a 'data-led curriculum,' in which pedagogical decision-making is oriented toward the production of assessable data rather than responsive learning. Daliri-Ngametua et al. (2022) show that data performativity, the institutional compulsion to generate compliant, legible numerical outputs regardless of their relationship to pedagogical reality, systematically erodes professional trust and displaces teacher judgment. In Global South under-resourced contexts, this dynamic acquires additional structural severity. Where teachers in high-income country contexts experience datafication as a narrowing of pre-existing professional space, teachers in many Global South public school systems encounter it as the imposition of a surveillance apparatus.</w:t>
      </w:r>
    </w:p>
    <w:p w14:paraId="11221808" w14:textId="77777777" w:rsidR="00765F7C" w:rsidRPr="005D612E" w:rsidRDefault="00000000" w:rsidP="005D612E">
      <w:pPr>
        <w:rPr>
          <w:b/>
          <w:bCs/>
        </w:rPr>
      </w:pPr>
      <w:r w:rsidRPr="005D612E">
        <w:rPr>
          <w:b/>
          <w:bCs/>
        </w:rPr>
        <w:t>6.2.2 Post-Panoptic Subject Formation and Cognitive Atrophy</w:t>
      </w:r>
    </w:p>
    <w:p w14:paraId="331D64BA" w14:textId="0844747D" w:rsidR="00765F7C" w:rsidRPr="005D612E" w:rsidRDefault="00000000" w:rsidP="007B1DEA">
      <w:pPr>
        <w:rPr>
          <w:rFonts w:ascii="Arial" w:hAnsi="Arial" w:cs="Arial"/>
          <w:color w:val="auto"/>
        </w:rPr>
      </w:pPr>
      <w:r w:rsidRPr="005D612E">
        <w:rPr>
          <w:rFonts w:ascii="Arial" w:hAnsi="Arial" w:cs="Arial"/>
          <w:color w:val="auto"/>
        </w:rPr>
        <w:t>Hu et al. (2025), revisiting Foucauldian panopticism in the context of AI surveillance in education, provide one of the most theoretically significant findings in the corpus: contemporary AI surveillance structures produce 'post-panoptic' subjectivities, in which teachers and students have internalised the norms of continuous digital monitoring to the point of behavioural self-modification even in the absence of active monitoring. Cukurova (2025) approaches this problem from a learning sciences perspective, providing empirical grounds for the claim that AI-assisted governance systems that systematically displace human professional judgment risk producing what he terms 'cognitive atrophy'</w:t>
      </w:r>
      <w:r w:rsidR="00536781">
        <w:rPr>
          <w:rFonts w:ascii="Arial" w:hAnsi="Arial" w:cs="Arial"/>
          <w:color w:val="auto"/>
        </w:rPr>
        <w:t>,</w:t>
      </w:r>
      <w:r w:rsidRPr="005D612E">
        <w:rPr>
          <w:rFonts w:ascii="Arial" w:hAnsi="Arial" w:cs="Arial"/>
          <w:color w:val="auto"/>
        </w:rPr>
        <w:t xml:space="preserve"> a progressive de-skilling of the professional judgement that AI was intended to support rather than supplant.</w:t>
      </w:r>
    </w:p>
    <w:p w14:paraId="09AE058C" w14:textId="77777777" w:rsidR="00765F7C" w:rsidRPr="005D612E" w:rsidRDefault="00000000" w:rsidP="005D612E">
      <w:pPr>
        <w:pStyle w:val="Heading3"/>
      </w:pPr>
      <w:r w:rsidRPr="005D612E">
        <w:t>6.3 Theme 3: The Datafication of Student Subjectivity</w:t>
      </w:r>
    </w:p>
    <w:p w14:paraId="74177465" w14:textId="77777777" w:rsidR="00765F7C" w:rsidRPr="005D612E" w:rsidRDefault="00000000" w:rsidP="005D612E">
      <w:pPr>
        <w:rPr>
          <w:b/>
          <w:bCs/>
        </w:rPr>
      </w:pPr>
      <w:r w:rsidRPr="005D612E">
        <w:rPr>
          <w:b/>
          <w:bCs/>
        </w:rPr>
        <w:t>6.3.1 From Pedagogical Agent to Governable Object</w:t>
      </w:r>
    </w:p>
    <w:p w14:paraId="42D92ACC" w14:textId="2ED12822" w:rsidR="00765F7C" w:rsidRPr="005D612E" w:rsidRDefault="00000000" w:rsidP="007B1DEA">
      <w:pPr>
        <w:rPr>
          <w:rFonts w:ascii="Arial" w:hAnsi="Arial" w:cs="Arial"/>
          <w:color w:val="auto"/>
        </w:rPr>
      </w:pPr>
      <w:r w:rsidRPr="005D612E">
        <w:rPr>
          <w:rFonts w:ascii="Arial" w:hAnsi="Arial" w:cs="Arial"/>
          <w:color w:val="auto"/>
        </w:rPr>
        <w:t>Selwyn's (2015, 2020) foundational contribution to critical educational data studies is the argument that digital technologies in schools are configured not primarily as learning tools but as surveillance instruments that produce granular data on student behaviour, performance, and social relationships for institutional governance purposes. Pangrazio et al. (2023) show how school digital platforms aggregate and classify student behaviour in ways that are opaque to students and families, producing persistent data profiles with potentially significant consequences for educational trajectories and life opportunities.</w:t>
      </w:r>
    </w:p>
    <w:p w14:paraId="204BA15D" w14:textId="77777777" w:rsidR="00765F7C" w:rsidRPr="005D612E" w:rsidRDefault="00000000" w:rsidP="005D612E">
      <w:pPr>
        <w:rPr>
          <w:b/>
          <w:bCs/>
        </w:rPr>
      </w:pPr>
      <w:r w:rsidRPr="005D612E">
        <w:rPr>
          <w:b/>
          <w:bCs/>
        </w:rPr>
        <w:t>6.3.2 EMIS, Macro-Level Data, and the Micro-Pedagogical Void</w:t>
      </w:r>
    </w:p>
    <w:p w14:paraId="107A2AAE" w14:textId="36372F89" w:rsidR="00765F7C" w:rsidRPr="005D612E" w:rsidRDefault="00000000" w:rsidP="007B1DEA">
      <w:pPr>
        <w:rPr>
          <w:rFonts w:ascii="Arial" w:hAnsi="Arial" w:cs="Arial"/>
          <w:color w:val="auto"/>
        </w:rPr>
      </w:pPr>
      <w:r w:rsidRPr="005D612E">
        <w:rPr>
          <w:rFonts w:ascii="Arial" w:hAnsi="Arial" w:cs="Arial"/>
          <w:color w:val="auto"/>
        </w:rPr>
        <w:t>In Global South public school contexts, the datafication of student subjectivity takes specific institutional forms that produce a distinctive pattern of misalignment. The large-scale EMIS systems operating across South Asia, East Africa, and Latin America collect and aggregate data on student enrolment, attendance, and examination performance at macro scale (World Bank, 2022; UNESCO, 2023). These systems are designed primarily to serve national and international development accountability functions rather than to generate the fine-grained, contextually nuanced pedagogical intelligence that teachers need for responsive classroom practice. The consequence is a fundamental misalignment: the data most extensively collected about students are precisely those least useful to the teachers who actually work with them.</w:t>
      </w:r>
    </w:p>
    <w:p w14:paraId="39C40A09" w14:textId="77777777" w:rsidR="00765F7C" w:rsidRPr="005D612E" w:rsidRDefault="00000000" w:rsidP="005D612E">
      <w:pPr>
        <w:rPr>
          <w:b/>
          <w:bCs/>
        </w:rPr>
      </w:pPr>
      <w:r w:rsidRPr="005D612E">
        <w:rPr>
          <w:b/>
          <w:bCs/>
        </w:rPr>
        <w:t>6.3.3 Data Profiling, Social Sorting, and Secondary Inequality</w:t>
      </w:r>
    </w:p>
    <w:p w14:paraId="30C1D748" w14:textId="17DA7097" w:rsidR="005D612E" w:rsidRDefault="00000000" w:rsidP="007B1DEA">
      <w:pPr>
        <w:rPr>
          <w:rFonts w:ascii="Arial" w:hAnsi="Arial" w:cs="Arial"/>
          <w:color w:val="auto"/>
        </w:rPr>
      </w:pPr>
      <w:r w:rsidRPr="005D612E">
        <w:rPr>
          <w:rFonts w:ascii="Arial" w:hAnsi="Arial" w:cs="Arial"/>
          <w:color w:val="auto"/>
        </w:rPr>
        <w:t>The socially sorting dimensions of algorithmic governance in education are well-established in the Global North literature (Noble, 2018; Gillborn et al., 2018; Benjamin, 2019). In Global South contexts, analogous dynamics are constituted through different but structurally similar social categories. Where digital performance data are used to classify schools as 'low performing' and to trigger accountability interventions the populations most affected are disproportionately those already most disadvantaged: rural students, students from lower socioeconomic backgrounds, students from linguistic or religious minority communities.</w:t>
      </w:r>
    </w:p>
    <w:p w14:paraId="321E0289" w14:textId="77777777" w:rsidR="005D612E" w:rsidRDefault="005D612E">
      <w:pPr>
        <w:spacing w:line="240" w:lineRule="auto"/>
        <w:jc w:val="left"/>
        <w:rPr>
          <w:rFonts w:ascii="Arial" w:hAnsi="Arial" w:cs="Arial"/>
          <w:color w:val="auto"/>
        </w:rPr>
      </w:pPr>
      <w:r>
        <w:rPr>
          <w:rFonts w:ascii="Arial" w:hAnsi="Arial" w:cs="Arial"/>
          <w:color w:val="auto"/>
        </w:rPr>
        <w:br w:type="page"/>
      </w:r>
    </w:p>
    <w:p w14:paraId="176CC119" w14:textId="77777777" w:rsidR="00765F7C" w:rsidRPr="005D612E" w:rsidRDefault="00000000" w:rsidP="005D612E">
      <w:pPr>
        <w:pStyle w:val="Heading3"/>
      </w:pPr>
      <w:r w:rsidRPr="005D612E">
        <w:t>6.4 Theme 4: Structural Misalignment and the AI Governance Gap</w:t>
      </w:r>
    </w:p>
    <w:p w14:paraId="42388AB0" w14:textId="77777777" w:rsidR="00765F7C" w:rsidRPr="005D612E" w:rsidRDefault="00000000" w:rsidP="005D612E">
      <w:pPr>
        <w:rPr>
          <w:b/>
          <w:bCs/>
        </w:rPr>
      </w:pPr>
      <w:r w:rsidRPr="005D612E">
        <w:rPr>
          <w:b/>
          <w:bCs/>
        </w:rPr>
        <w:t>6.4.1 The Architecture of the Governance Gap</w:t>
      </w:r>
    </w:p>
    <w:p w14:paraId="0E2D5B08" w14:textId="062C4E6C" w:rsidR="00765F7C" w:rsidRPr="005D612E" w:rsidRDefault="00000000" w:rsidP="007B1DEA">
      <w:pPr>
        <w:rPr>
          <w:rFonts w:ascii="Arial" w:hAnsi="Arial" w:cs="Arial"/>
          <w:color w:val="auto"/>
        </w:rPr>
      </w:pPr>
      <w:r w:rsidRPr="005D612E">
        <w:rPr>
          <w:rFonts w:ascii="Arial" w:hAnsi="Arial" w:cs="Arial"/>
          <w:color w:val="auto"/>
        </w:rPr>
        <w:t>UNESCO (2023) reports that only 39% of education systems worldwide had formulated AI governance policies by 2023; the proportion among low-income country school systems is substantially lower. A significant proportion of those frameworks that do exist have been modelled on European or North American regulatory approaches</w:t>
      </w:r>
      <w:r w:rsidR="00536781">
        <w:rPr>
          <w:rFonts w:ascii="Arial" w:hAnsi="Arial" w:cs="Arial"/>
          <w:color w:val="auto"/>
        </w:rPr>
        <w:t>,</w:t>
      </w:r>
      <w:r w:rsidRPr="005D612E">
        <w:rPr>
          <w:rFonts w:ascii="Arial" w:hAnsi="Arial" w:cs="Arial"/>
          <w:color w:val="auto"/>
        </w:rPr>
        <w:t xml:space="preserve"> particularly the EU AI Act's risk-based classification of education as a high-risk domain</w:t>
      </w:r>
      <w:r w:rsidR="00536781">
        <w:rPr>
          <w:rFonts w:ascii="Arial" w:hAnsi="Arial" w:cs="Arial"/>
          <w:color w:val="auto"/>
        </w:rPr>
        <w:t>,</w:t>
      </w:r>
      <w:r w:rsidRPr="005D612E">
        <w:rPr>
          <w:rFonts w:ascii="Arial" w:hAnsi="Arial" w:cs="Arial"/>
          <w:color w:val="auto"/>
        </w:rPr>
        <w:t xml:space="preserve"> that assume institutional capacity for compliance that is simply absent in most Global South public school systems: legal infrastructure for algorithmic impact assessment, data protection officers, technical capacity for algorithmic auditing, and independent regulatory agencies capable of enforcement. Pesek (2026) provides the most analytically precise account of why this gap is structurally produced rather than merely accidental. AI systems' transversal character</w:t>
      </w:r>
      <w:r w:rsidR="00536781">
        <w:rPr>
          <w:rFonts w:ascii="Arial" w:hAnsi="Arial" w:cs="Arial"/>
          <w:color w:val="auto"/>
        </w:rPr>
        <w:t>,</w:t>
      </w:r>
      <w:r w:rsidRPr="005D612E">
        <w:rPr>
          <w:rFonts w:ascii="Arial" w:hAnsi="Arial" w:cs="Arial"/>
          <w:color w:val="auto"/>
        </w:rPr>
        <w:t xml:space="preserve"> their simultaneous action on centralised and decentralised governance levels</w:t>
      </w:r>
      <w:r w:rsidR="00536781">
        <w:rPr>
          <w:rFonts w:ascii="Arial" w:hAnsi="Arial" w:cs="Arial"/>
          <w:color w:val="auto"/>
        </w:rPr>
        <w:t>,</w:t>
      </w:r>
      <w:r w:rsidRPr="005D612E">
        <w:rPr>
          <w:rFonts w:ascii="Arial" w:hAnsi="Arial" w:cs="Arial"/>
          <w:color w:val="auto"/>
        </w:rPr>
        <w:t xml:space="preserve"> creates accountability voids that traditional regulatory arrangements designed for either centralisation or decentralisation, but not both simultaneously, cannot fill. In Global South contexts characterised by weak horizontal governance capacity and fragmented vertical accountability chains, this transversal governance problem is substantially amplified.</w:t>
      </w:r>
    </w:p>
    <w:p w14:paraId="7D09F441" w14:textId="77777777" w:rsidR="00765F7C" w:rsidRPr="005D612E" w:rsidRDefault="00000000" w:rsidP="005D612E">
      <w:pPr>
        <w:rPr>
          <w:b/>
          <w:bCs/>
        </w:rPr>
      </w:pPr>
      <w:r w:rsidRPr="005D612E">
        <w:rPr>
          <w:b/>
          <w:bCs/>
        </w:rPr>
        <w:t>6.4.2 Infrastructure Conditions and Data Quality</w:t>
      </w:r>
    </w:p>
    <w:p w14:paraId="01EC6438" w14:textId="74DBB964" w:rsidR="00765F7C" w:rsidRPr="005D612E" w:rsidRDefault="00000000" w:rsidP="00E72C3E">
      <w:pPr>
        <w:rPr>
          <w:rFonts w:ascii="Arial" w:hAnsi="Arial" w:cs="Arial"/>
          <w:color w:val="auto"/>
        </w:rPr>
      </w:pPr>
      <w:r w:rsidRPr="005D612E">
        <w:rPr>
          <w:rFonts w:ascii="Arial" w:hAnsi="Arial" w:cs="Arial"/>
          <w:color w:val="auto"/>
        </w:rPr>
        <w:t>A related structural problem concerns the digital infrastructure conditions that datafied governance systems presuppose but that are substantially absent in under-resourced Global South schools. When schools lack reliable digital connectivity, the data transmitted to central EMIS systems are inevitably partial, unreliable, and susceptible to the strategic manipulation that Schlauch (2021) documents in the Italian context</w:t>
      </w:r>
      <w:r w:rsidR="00536781">
        <w:rPr>
          <w:rFonts w:ascii="Arial" w:hAnsi="Arial" w:cs="Arial"/>
          <w:color w:val="auto"/>
        </w:rPr>
        <w:t>,</w:t>
      </w:r>
      <w:r w:rsidRPr="005D612E">
        <w:rPr>
          <w:rFonts w:ascii="Arial" w:hAnsi="Arial" w:cs="Arial"/>
          <w:color w:val="auto"/>
        </w:rPr>
        <w:t xml:space="preserve"> and which there is every reason to expect is at least as prevalent in contexts where institutional stakes are higher and governance oversight weaker. The consequence is a governance system that generates the appearance of data-driven accountability without the substance: numerical outputs are produced and aggregated, dashboards are populated, ministerial reports are generated</w:t>
      </w:r>
      <w:r w:rsidR="00536781">
        <w:rPr>
          <w:rFonts w:ascii="Arial" w:hAnsi="Arial" w:cs="Arial"/>
          <w:color w:val="auto"/>
        </w:rPr>
        <w:t>,</w:t>
      </w:r>
      <w:r w:rsidRPr="005D612E">
        <w:rPr>
          <w:rFonts w:ascii="Arial" w:hAnsi="Arial" w:cs="Arial"/>
          <w:color w:val="auto"/>
        </w:rPr>
        <w:t xml:space="preserve"> but the data they contain are a strategic artefact of compliance performance rather than a reliable representation of educational reality. In this way, the datafied accountability system that was designed to combat institutional manipulation becomes a new instrument for its more sophisticated enactment.</w:t>
      </w:r>
    </w:p>
    <w:p w14:paraId="64CD5C88" w14:textId="77777777" w:rsidR="00765F7C" w:rsidRPr="005D612E" w:rsidRDefault="00000000" w:rsidP="005D612E">
      <w:pPr>
        <w:rPr>
          <w:b/>
          <w:bCs/>
        </w:rPr>
      </w:pPr>
      <w:r w:rsidRPr="005D612E">
        <w:rPr>
          <w:b/>
          <w:bCs/>
        </w:rPr>
        <w:t>6.4.3 The Limits of Techno-Solutionism and the Need for Contextual Governance</w:t>
      </w:r>
    </w:p>
    <w:p w14:paraId="4F49F410" w14:textId="50E69AB6" w:rsidR="00765F7C" w:rsidRPr="005D612E" w:rsidRDefault="00000000" w:rsidP="00E72C3E">
      <w:pPr>
        <w:rPr>
          <w:rFonts w:ascii="Arial" w:hAnsi="Arial" w:cs="Arial"/>
          <w:color w:val="auto"/>
        </w:rPr>
      </w:pPr>
      <w:r w:rsidRPr="005D612E">
        <w:rPr>
          <w:rFonts w:ascii="Arial" w:hAnsi="Arial" w:cs="Arial"/>
          <w:color w:val="auto"/>
        </w:rPr>
        <w:t xml:space="preserve">The synthesis strongly supports the argument, now well-established in the critical educational technology literature (Selwyn, 2020; Williamson, 2017), that the 'datafication </w:t>
      </w:r>
      <w:r w:rsidR="00536781" w:rsidRPr="005D612E">
        <w:rPr>
          <w:rFonts w:ascii="Arial" w:hAnsi="Arial" w:cs="Arial"/>
          <w:color w:val="auto"/>
        </w:rPr>
        <w:t>fix’</w:t>
      </w:r>
      <w:r w:rsidR="00536781">
        <w:rPr>
          <w:rFonts w:ascii="Arial" w:hAnsi="Arial" w:cs="Arial"/>
          <w:color w:val="auto"/>
        </w:rPr>
        <w:t>,</w:t>
      </w:r>
      <w:r w:rsidR="00536781" w:rsidRPr="005D612E">
        <w:rPr>
          <w:rFonts w:ascii="Arial" w:hAnsi="Arial" w:cs="Arial"/>
          <w:color w:val="auto"/>
        </w:rPr>
        <w:t xml:space="preserve"> the</w:t>
      </w:r>
      <w:r w:rsidRPr="005D612E">
        <w:rPr>
          <w:rFonts w:ascii="Arial" w:hAnsi="Arial" w:cs="Arial"/>
          <w:color w:val="auto"/>
        </w:rPr>
        <w:t xml:space="preserve"> proposition that governance problems in education can be resolved through the application of more and better </w:t>
      </w:r>
      <w:r w:rsidR="00536781" w:rsidRPr="005D612E">
        <w:rPr>
          <w:rFonts w:ascii="Arial" w:hAnsi="Arial" w:cs="Arial"/>
          <w:color w:val="auto"/>
        </w:rPr>
        <w:t>data</w:t>
      </w:r>
      <w:r w:rsidR="00536781">
        <w:rPr>
          <w:rFonts w:ascii="Arial" w:hAnsi="Arial" w:cs="Arial"/>
          <w:color w:val="auto"/>
        </w:rPr>
        <w:t>,</w:t>
      </w:r>
      <w:r w:rsidR="00536781" w:rsidRPr="005D612E">
        <w:rPr>
          <w:rFonts w:ascii="Arial" w:hAnsi="Arial" w:cs="Arial"/>
          <w:color w:val="auto"/>
        </w:rPr>
        <w:t xml:space="preserve"> is</w:t>
      </w:r>
      <w:r w:rsidRPr="005D612E">
        <w:rPr>
          <w:rFonts w:ascii="Arial" w:hAnsi="Arial" w:cs="Arial"/>
          <w:color w:val="auto"/>
        </w:rPr>
        <w:t xml:space="preserve"> not merely insufficient but actively counterproductive in under-resourced Global South contexts. The institutional conditions that determine the quality and equity of educational provision in these </w:t>
      </w:r>
      <w:r w:rsidR="00536781" w:rsidRPr="005D612E">
        <w:rPr>
          <w:rFonts w:ascii="Arial" w:hAnsi="Arial" w:cs="Arial"/>
          <w:color w:val="auto"/>
        </w:rPr>
        <w:t>contexts</w:t>
      </w:r>
      <w:r w:rsidR="00536781">
        <w:rPr>
          <w:rFonts w:ascii="Arial" w:hAnsi="Arial" w:cs="Arial"/>
          <w:color w:val="auto"/>
        </w:rPr>
        <w:t>,</w:t>
      </w:r>
      <w:r w:rsidR="00536781" w:rsidRPr="005D612E">
        <w:rPr>
          <w:rFonts w:ascii="Arial" w:hAnsi="Arial" w:cs="Arial"/>
          <w:color w:val="auto"/>
        </w:rPr>
        <w:t xml:space="preserve"> adequate</w:t>
      </w:r>
      <w:r w:rsidRPr="005D612E">
        <w:rPr>
          <w:rFonts w:ascii="Arial" w:hAnsi="Arial" w:cs="Arial"/>
          <w:color w:val="auto"/>
        </w:rPr>
        <w:t xml:space="preserve"> teacher salaries, functional physical infrastructure, pedagogically supportive school leadership, community </w:t>
      </w:r>
      <w:r w:rsidR="00536781" w:rsidRPr="005D612E">
        <w:rPr>
          <w:rFonts w:ascii="Arial" w:hAnsi="Arial" w:cs="Arial"/>
          <w:color w:val="auto"/>
        </w:rPr>
        <w:t>trust</w:t>
      </w:r>
      <w:r w:rsidR="00536781">
        <w:rPr>
          <w:rFonts w:ascii="Arial" w:hAnsi="Arial" w:cs="Arial"/>
          <w:color w:val="auto"/>
        </w:rPr>
        <w:t>,</w:t>
      </w:r>
      <w:r w:rsidR="00536781" w:rsidRPr="005D612E">
        <w:rPr>
          <w:rFonts w:ascii="Arial" w:hAnsi="Arial" w:cs="Arial"/>
          <w:color w:val="auto"/>
        </w:rPr>
        <w:t xml:space="preserve"> are</w:t>
      </w:r>
      <w:r w:rsidRPr="005D612E">
        <w:rPr>
          <w:rFonts w:ascii="Arial" w:hAnsi="Arial" w:cs="Arial"/>
          <w:color w:val="auto"/>
        </w:rPr>
        <w:t xml:space="preserve"> not data problems; they are political and material problems that datafied governance systems cannot address and may actively obscure by generating the appearance of evidence-based management in their absence. Contextually grounded educational data </w:t>
      </w:r>
      <w:r w:rsidR="00536781" w:rsidRPr="005D612E">
        <w:rPr>
          <w:rFonts w:ascii="Arial" w:hAnsi="Arial" w:cs="Arial"/>
          <w:color w:val="auto"/>
        </w:rPr>
        <w:t>governance</w:t>
      </w:r>
      <w:r w:rsidR="00536781">
        <w:rPr>
          <w:rFonts w:ascii="Arial" w:hAnsi="Arial" w:cs="Arial"/>
          <w:color w:val="auto"/>
        </w:rPr>
        <w:t>,</w:t>
      </w:r>
      <w:r w:rsidR="00536781" w:rsidRPr="005D612E">
        <w:rPr>
          <w:rFonts w:ascii="Arial" w:hAnsi="Arial" w:cs="Arial"/>
          <w:color w:val="auto"/>
        </w:rPr>
        <w:t xml:space="preserve"> governance</w:t>
      </w:r>
      <w:r w:rsidRPr="005D612E">
        <w:rPr>
          <w:rFonts w:ascii="Arial" w:hAnsi="Arial" w:cs="Arial"/>
          <w:color w:val="auto"/>
        </w:rPr>
        <w:t xml:space="preserve"> that begins from the institutional realities of the systems being governed rather than from frameworks developed for and by different </w:t>
      </w:r>
      <w:r w:rsidR="00536781" w:rsidRPr="005D612E">
        <w:rPr>
          <w:rFonts w:ascii="Arial" w:hAnsi="Arial" w:cs="Arial"/>
          <w:color w:val="auto"/>
        </w:rPr>
        <w:t>systems</w:t>
      </w:r>
      <w:r w:rsidR="00536781">
        <w:rPr>
          <w:rFonts w:ascii="Arial" w:hAnsi="Arial" w:cs="Arial"/>
          <w:color w:val="auto"/>
        </w:rPr>
        <w:t>,</w:t>
      </w:r>
      <w:r w:rsidR="00536781" w:rsidRPr="005D612E">
        <w:rPr>
          <w:rFonts w:ascii="Arial" w:hAnsi="Arial" w:cs="Arial"/>
          <w:color w:val="auto"/>
        </w:rPr>
        <w:t xml:space="preserve"> requires</w:t>
      </w:r>
      <w:r w:rsidRPr="005D612E">
        <w:rPr>
          <w:rFonts w:ascii="Arial" w:hAnsi="Arial" w:cs="Arial"/>
          <w:color w:val="auto"/>
        </w:rPr>
        <w:t xml:space="preserve"> a fundamentally different epistemic orientation, one that DCE is designed to support.</w:t>
      </w:r>
    </w:p>
    <w:p w14:paraId="1C164C26" w14:textId="4CE27B44" w:rsidR="005D612E" w:rsidRDefault="005D612E" w:rsidP="005D612E">
      <w:pPr>
        <w:pStyle w:val="Heading2"/>
      </w:pPr>
      <w:r>
        <w:t>7. Discussion</w:t>
      </w:r>
    </w:p>
    <w:p w14:paraId="1BF0304E" w14:textId="3973A97F" w:rsidR="00765F7C" w:rsidRPr="005D612E" w:rsidRDefault="00000000" w:rsidP="005D612E">
      <w:pPr>
        <w:pStyle w:val="Heading3"/>
      </w:pPr>
      <w:r w:rsidRPr="005D612E">
        <w:t>7.1 Theoretical Contributions</w:t>
      </w:r>
    </w:p>
    <w:p w14:paraId="6879DBC0" w14:textId="47CD7E35" w:rsidR="00765F7C" w:rsidRPr="005D612E" w:rsidRDefault="00000000" w:rsidP="00E72C3E">
      <w:pPr>
        <w:rPr>
          <w:rFonts w:ascii="Arial" w:hAnsi="Arial" w:cs="Arial"/>
          <w:color w:val="auto"/>
        </w:rPr>
      </w:pPr>
      <w:r w:rsidRPr="005D612E">
        <w:rPr>
          <w:rFonts w:ascii="Arial" w:hAnsi="Arial" w:cs="Arial"/>
          <w:color w:val="auto"/>
        </w:rPr>
        <w:t xml:space="preserve">The DCE framework makes three contributions that are theoretically original and empirically generative. First, it resolves a persistent tension between macro-structural accounts of data colonialism (Couldry &amp; Mejias, 2019) and micro-empirical accounts of institutional datafication (Selwyn, 2020) by specifying the mechanisms through which global structural logics are enacted in specific institutional contexts. This is not merely a theoretical refinement: it enables researchers to design studies that simultaneously attend to global power dynamics and the contextually specific ways in which those dynamics are lived and negotiated by teachers, students, and school leaders. Second, DCE extends the postcolonial education theory </w:t>
      </w:r>
      <w:r w:rsidR="00536781" w:rsidRPr="005D612E">
        <w:rPr>
          <w:rFonts w:ascii="Arial" w:hAnsi="Arial" w:cs="Arial"/>
          <w:color w:val="auto"/>
        </w:rPr>
        <w:t>tradition</w:t>
      </w:r>
      <w:r w:rsidR="00536781">
        <w:rPr>
          <w:rFonts w:ascii="Arial" w:hAnsi="Arial" w:cs="Arial"/>
          <w:color w:val="auto"/>
        </w:rPr>
        <w:t>,</w:t>
      </w:r>
      <w:r w:rsidR="00536781" w:rsidRPr="005D612E">
        <w:rPr>
          <w:rFonts w:ascii="Arial" w:hAnsi="Arial" w:cs="Arial"/>
          <w:color w:val="auto"/>
        </w:rPr>
        <w:t xml:space="preserve"> which</w:t>
      </w:r>
      <w:r w:rsidRPr="005D612E">
        <w:rPr>
          <w:rFonts w:ascii="Arial" w:hAnsi="Arial" w:cs="Arial"/>
          <w:color w:val="auto"/>
        </w:rPr>
        <w:t xml:space="preserve"> has primarily attended to curriculum, pedagogy, and teacher education (Tikly, 2020; Thomas et al., 2023)</w:t>
      </w:r>
      <w:r w:rsidR="00536781">
        <w:rPr>
          <w:rFonts w:ascii="Arial" w:hAnsi="Arial" w:cs="Arial"/>
          <w:color w:val="auto"/>
        </w:rPr>
        <w:t xml:space="preserve">, </w:t>
      </w:r>
      <w:r w:rsidRPr="005D612E">
        <w:rPr>
          <w:rFonts w:ascii="Arial" w:hAnsi="Arial" w:cs="Arial"/>
          <w:color w:val="auto"/>
        </w:rPr>
        <w:t>to governance and institutional technology, a domain where postcolonial analysis is urgently needed but currently underdeveloped. Third, by integrating a sociotechnical systems perspective, DCE insists that the institutional context of deployment is a constitutive element of how datafied governance operates: analysing the algorithm or the platform in isolation from the school system it governs produces not merely incomplete but distorted analytical accounts.</w:t>
      </w:r>
    </w:p>
    <w:p w14:paraId="25F05687" w14:textId="77777777" w:rsidR="00765F7C" w:rsidRPr="005D612E" w:rsidRDefault="00000000" w:rsidP="005D612E">
      <w:pPr>
        <w:pStyle w:val="Heading3"/>
      </w:pPr>
      <w:r w:rsidRPr="005D612E">
        <w:t>7.2 Methodological Implications</w:t>
      </w:r>
    </w:p>
    <w:p w14:paraId="1034439A" w14:textId="26BE9459" w:rsidR="00765F7C" w:rsidRPr="005D612E" w:rsidRDefault="00000000" w:rsidP="00E72C3E">
      <w:pPr>
        <w:rPr>
          <w:rFonts w:ascii="Arial" w:hAnsi="Arial" w:cs="Arial"/>
          <w:color w:val="auto"/>
        </w:rPr>
      </w:pPr>
      <w:r w:rsidRPr="005D612E">
        <w:rPr>
          <w:rFonts w:ascii="Arial" w:hAnsi="Arial" w:cs="Arial"/>
          <w:color w:val="auto"/>
        </w:rPr>
        <w:t xml:space="preserve">The review has significant methodological implications for future empirical work. It strongly supports qualitative and ethnographic approaches to the study of educational datafication in Global South contexts, not because quantitative methods are inappropriate, but because the most important questions raised by the DCE </w:t>
      </w:r>
      <w:proofErr w:type="spellStart"/>
      <w:proofErr w:type="gramStart"/>
      <w:r w:rsidRPr="005D612E">
        <w:rPr>
          <w:rFonts w:ascii="Arial" w:hAnsi="Arial" w:cs="Arial"/>
          <w:color w:val="auto"/>
        </w:rPr>
        <w:t>framework</w:t>
      </w:r>
      <w:r w:rsidR="00536781">
        <w:rPr>
          <w:rFonts w:ascii="Arial" w:hAnsi="Arial" w:cs="Arial"/>
          <w:color w:val="auto"/>
        </w:rPr>
        <w:t>,</w:t>
      </w:r>
      <w:r w:rsidRPr="005D612E">
        <w:rPr>
          <w:rFonts w:ascii="Arial" w:hAnsi="Arial" w:cs="Arial"/>
          <w:color w:val="auto"/>
        </w:rPr>
        <w:t>about</w:t>
      </w:r>
      <w:proofErr w:type="spellEnd"/>
      <w:proofErr w:type="gramEnd"/>
      <w:r w:rsidRPr="005D612E">
        <w:rPr>
          <w:rFonts w:ascii="Arial" w:hAnsi="Arial" w:cs="Arial"/>
          <w:color w:val="auto"/>
        </w:rPr>
        <w:t xml:space="preserve"> professional subject formation, power negotiation, contextual enactment, and institutional </w:t>
      </w:r>
      <w:proofErr w:type="spellStart"/>
      <w:proofErr w:type="gramStart"/>
      <w:r w:rsidRPr="005D612E">
        <w:rPr>
          <w:rFonts w:ascii="Arial" w:hAnsi="Arial" w:cs="Arial"/>
          <w:color w:val="auto"/>
        </w:rPr>
        <w:t>resistance</w:t>
      </w:r>
      <w:r w:rsidR="00536781">
        <w:rPr>
          <w:rFonts w:ascii="Arial" w:hAnsi="Arial" w:cs="Arial"/>
          <w:color w:val="auto"/>
        </w:rPr>
        <w:t>,</w:t>
      </w:r>
      <w:r w:rsidRPr="005D612E">
        <w:rPr>
          <w:rFonts w:ascii="Arial" w:hAnsi="Arial" w:cs="Arial"/>
          <w:color w:val="auto"/>
        </w:rPr>
        <w:t>are</w:t>
      </w:r>
      <w:proofErr w:type="spellEnd"/>
      <w:proofErr w:type="gramEnd"/>
      <w:r w:rsidRPr="005D612E">
        <w:rPr>
          <w:rFonts w:ascii="Arial" w:hAnsi="Arial" w:cs="Arial"/>
          <w:color w:val="auto"/>
        </w:rPr>
        <w:t xml:space="preserve"> not readily accessible through survey or experimental designs. Multi-site qualitative case study methodology (Yin, 2018) is particularly well-suited to comparative examination of how datafied governance operates across varying institutional contexts within a single national system. Participatory research </w:t>
      </w:r>
      <w:r w:rsidR="00536781" w:rsidRPr="005D612E">
        <w:rPr>
          <w:rFonts w:ascii="Arial" w:hAnsi="Arial" w:cs="Arial"/>
          <w:color w:val="auto"/>
        </w:rPr>
        <w:t>designs</w:t>
      </w:r>
      <w:r w:rsidR="00536781">
        <w:rPr>
          <w:rFonts w:ascii="Arial" w:hAnsi="Arial" w:cs="Arial"/>
          <w:color w:val="auto"/>
        </w:rPr>
        <w:t>,</w:t>
      </w:r>
      <w:r w:rsidR="00536781" w:rsidRPr="005D612E">
        <w:rPr>
          <w:rFonts w:ascii="Arial" w:hAnsi="Arial" w:cs="Arial"/>
          <w:color w:val="auto"/>
        </w:rPr>
        <w:t xml:space="preserve"> in</w:t>
      </w:r>
      <w:r w:rsidRPr="005D612E">
        <w:rPr>
          <w:rFonts w:ascii="Arial" w:hAnsi="Arial" w:cs="Arial"/>
          <w:color w:val="auto"/>
        </w:rPr>
        <w:t xml:space="preserve"> which teachers, students, and school communities are positioned as co-researchers rather than as data </w:t>
      </w:r>
      <w:r w:rsidR="00536781" w:rsidRPr="005D612E">
        <w:rPr>
          <w:rFonts w:ascii="Arial" w:hAnsi="Arial" w:cs="Arial"/>
          <w:color w:val="auto"/>
        </w:rPr>
        <w:t>sources</w:t>
      </w:r>
      <w:r w:rsidR="00536781">
        <w:rPr>
          <w:rFonts w:ascii="Arial" w:hAnsi="Arial" w:cs="Arial"/>
          <w:color w:val="auto"/>
        </w:rPr>
        <w:t>,</w:t>
      </w:r>
      <w:r w:rsidR="00536781" w:rsidRPr="005D612E">
        <w:rPr>
          <w:rFonts w:ascii="Arial" w:hAnsi="Arial" w:cs="Arial"/>
          <w:color w:val="auto"/>
        </w:rPr>
        <w:t xml:space="preserve"> offer</w:t>
      </w:r>
      <w:r w:rsidRPr="005D612E">
        <w:rPr>
          <w:rFonts w:ascii="Arial" w:hAnsi="Arial" w:cs="Arial"/>
          <w:color w:val="auto"/>
        </w:rPr>
        <w:t xml:space="preserve"> the possibility of generating knowledge that is simultaneously analytically rigorous and practically useful to those most affected by datafied governance. Such approaches also align with the decolonial epistemological commitments of the DCE framework: they produce knowledge through relationships of accountability rather than extraction.</w:t>
      </w:r>
    </w:p>
    <w:p w14:paraId="40121428" w14:textId="77777777" w:rsidR="00765F7C" w:rsidRPr="005D612E" w:rsidRDefault="00000000" w:rsidP="005D612E">
      <w:pPr>
        <w:pStyle w:val="Heading3"/>
      </w:pPr>
      <w:r w:rsidRPr="005D612E">
        <w:t>7.3 Policy Implications</w:t>
      </w:r>
    </w:p>
    <w:p w14:paraId="109C18A1" w14:textId="0755F079" w:rsidR="00765F7C" w:rsidRPr="005D612E" w:rsidRDefault="00000000" w:rsidP="00E72C3E">
      <w:pPr>
        <w:rPr>
          <w:rFonts w:ascii="Arial" w:hAnsi="Arial" w:cs="Arial"/>
          <w:color w:val="auto"/>
        </w:rPr>
      </w:pPr>
      <w:r w:rsidRPr="005D612E">
        <w:rPr>
          <w:rFonts w:ascii="Arial" w:hAnsi="Arial" w:cs="Arial"/>
          <w:color w:val="auto"/>
        </w:rPr>
        <w:t xml:space="preserve">For national policymakers and international development organisations, the review argues for a form of educational AI governance that begins from the institutional realities of the school systems being governed. Pakistan's National AI Policy (2025) represents a potentially significant policy opportunity: its recognition of the need for context-sensitive AI governance and its proposal of an AI Regulatory Directorate provides an institutional architecture within which educational AI governance frameworks could be developed. However, the translation of national AI policy commitments into specific, operationally realistic educational governance </w:t>
      </w:r>
      <w:r w:rsidR="00536781" w:rsidRPr="005D612E">
        <w:rPr>
          <w:rFonts w:ascii="Arial" w:hAnsi="Arial" w:cs="Arial"/>
          <w:color w:val="auto"/>
        </w:rPr>
        <w:t>arrangements</w:t>
      </w:r>
      <w:r w:rsidR="00536781">
        <w:rPr>
          <w:rFonts w:ascii="Arial" w:hAnsi="Arial" w:cs="Arial"/>
          <w:color w:val="auto"/>
        </w:rPr>
        <w:t>,</w:t>
      </w:r>
      <w:r w:rsidR="00536781" w:rsidRPr="005D612E">
        <w:rPr>
          <w:rFonts w:ascii="Arial" w:hAnsi="Arial" w:cs="Arial"/>
          <w:color w:val="auto"/>
        </w:rPr>
        <w:t xml:space="preserve"> arrangements</w:t>
      </w:r>
      <w:r w:rsidRPr="005D612E">
        <w:rPr>
          <w:rFonts w:ascii="Arial" w:hAnsi="Arial" w:cs="Arial"/>
          <w:color w:val="auto"/>
        </w:rPr>
        <w:t xml:space="preserve"> that protect teacher professional judgment, ensure data equity, and provide meaningful </w:t>
      </w:r>
      <w:r w:rsidR="00536781" w:rsidRPr="005D612E">
        <w:rPr>
          <w:rFonts w:ascii="Arial" w:hAnsi="Arial" w:cs="Arial"/>
          <w:color w:val="auto"/>
        </w:rPr>
        <w:t>accountability</w:t>
      </w:r>
      <w:r w:rsidR="00536781">
        <w:rPr>
          <w:rFonts w:ascii="Arial" w:hAnsi="Arial" w:cs="Arial"/>
          <w:color w:val="auto"/>
        </w:rPr>
        <w:t>,</w:t>
      </w:r>
      <w:r w:rsidR="00536781" w:rsidRPr="005D612E">
        <w:rPr>
          <w:rFonts w:ascii="Arial" w:hAnsi="Arial" w:cs="Arial"/>
          <w:color w:val="auto"/>
        </w:rPr>
        <w:t xml:space="preserve"> remains</w:t>
      </w:r>
      <w:r w:rsidRPr="005D612E">
        <w:rPr>
          <w:rFonts w:ascii="Arial" w:hAnsi="Arial" w:cs="Arial"/>
          <w:color w:val="auto"/>
        </w:rPr>
        <w:t xml:space="preserve"> a substantial challenge. The risk of what Rafiq-uz-Zaman (2025) calls 'adoption without </w:t>
      </w:r>
      <w:r w:rsidR="00536781" w:rsidRPr="005D612E">
        <w:rPr>
          <w:rFonts w:ascii="Arial" w:hAnsi="Arial" w:cs="Arial"/>
          <w:color w:val="auto"/>
        </w:rPr>
        <w:t>integration’</w:t>
      </w:r>
      <w:r w:rsidR="00536781">
        <w:rPr>
          <w:rFonts w:ascii="Arial" w:hAnsi="Arial" w:cs="Arial"/>
          <w:color w:val="auto"/>
        </w:rPr>
        <w:t>,</w:t>
      </w:r>
      <w:r w:rsidR="00536781" w:rsidRPr="005D612E">
        <w:rPr>
          <w:rFonts w:ascii="Arial" w:hAnsi="Arial" w:cs="Arial"/>
          <w:color w:val="auto"/>
        </w:rPr>
        <w:t xml:space="preserve"> the</w:t>
      </w:r>
      <w:r w:rsidRPr="005D612E">
        <w:rPr>
          <w:rFonts w:ascii="Arial" w:hAnsi="Arial" w:cs="Arial"/>
          <w:color w:val="auto"/>
        </w:rPr>
        <w:t xml:space="preserve"> uptake of AI governance rhetoric without the substantive institutional change it </w:t>
      </w:r>
      <w:r w:rsidR="00536781" w:rsidRPr="005D612E">
        <w:rPr>
          <w:rFonts w:ascii="Arial" w:hAnsi="Arial" w:cs="Arial"/>
          <w:color w:val="auto"/>
        </w:rPr>
        <w:t>implies</w:t>
      </w:r>
      <w:r w:rsidR="00536781">
        <w:rPr>
          <w:rFonts w:ascii="Arial" w:hAnsi="Arial" w:cs="Arial"/>
          <w:color w:val="auto"/>
        </w:rPr>
        <w:t>,</w:t>
      </w:r>
      <w:r w:rsidR="00536781" w:rsidRPr="005D612E">
        <w:rPr>
          <w:rFonts w:ascii="Arial" w:hAnsi="Arial" w:cs="Arial"/>
          <w:color w:val="auto"/>
        </w:rPr>
        <w:t xml:space="preserve"> is</w:t>
      </w:r>
      <w:r w:rsidRPr="005D612E">
        <w:rPr>
          <w:rFonts w:ascii="Arial" w:hAnsi="Arial" w:cs="Arial"/>
          <w:color w:val="auto"/>
        </w:rPr>
        <w:t xml:space="preserve"> significant and must be actively resisted through empirically grounded policy implementation research.</w:t>
      </w:r>
    </w:p>
    <w:p w14:paraId="59AE0500" w14:textId="0402B69B" w:rsidR="0093427F" w:rsidRDefault="00000000" w:rsidP="0093427F">
      <w:pPr>
        <w:rPr>
          <w:rFonts w:ascii="Arial" w:hAnsi="Arial" w:cs="Arial"/>
          <w:color w:val="auto"/>
        </w:rPr>
      </w:pPr>
      <w:r w:rsidRPr="005D612E">
        <w:rPr>
          <w:rFonts w:ascii="Arial" w:hAnsi="Arial" w:cs="Arial"/>
          <w:color w:val="auto"/>
        </w:rPr>
        <w:t>For international development actors, the review argues that the datafication of Global South school systems through international EMIS programmes and commercial EdTech partnerships deserves the same degree of critical scrutiny as other forms of development intervention. Taylor and Broeders' (2015) demonstration that datafication programmes can reproduce colonial power relations in the name of development is directly applicable to educational contexts, and UNICEF's (2025) documentation of systematically inadequate data protection in the global EdTech sector provides concrete evidence of the governance gaps that must be addressed before datafication can constitute a genuine improvement intervention rather than a new form of institutional colonisation.</w:t>
      </w:r>
    </w:p>
    <w:p w14:paraId="3EA55B84" w14:textId="231B08B5" w:rsidR="0093427F" w:rsidRDefault="0093427F" w:rsidP="0093427F">
      <w:pPr>
        <w:pStyle w:val="Heading2"/>
      </w:pPr>
      <w:r>
        <w:t>8. Conclusion</w:t>
      </w:r>
    </w:p>
    <w:p w14:paraId="729C2D0B" w14:textId="27021154" w:rsidR="00765F7C" w:rsidRPr="005D612E" w:rsidRDefault="00000000" w:rsidP="00E72C3E">
      <w:pPr>
        <w:rPr>
          <w:rFonts w:ascii="Arial" w:hAnsi="Arial" w:cs="Arial"/>
          <w:color w:val="auto"/>
        </w:rPr>
      </w:pPr>
      <w:r w:rsidRPr="005D612E">
        <w:rPr>
          <w:rFonts w:ascii="Arial" w:hAnsi="Arial" w:cs="Arial"/>
          <w:color w:val="auto"/>
        </w:rPr>
        <w:t xml:space="preserve">This review has argued that the critical study of educational datafication requires a fundamental </w:t>
      </w:r>
      <w:r w:rsidR="00536781" w:rsidRPr="005D612E">
        <w:rPr>
          <w:rFonts w:ascii="Arial" w:hAnsi="Arial" w:cs="Arial"/>
          <w:color w:val="auto"/>
        </w:rPr>
        <w:t>reorientation</w:t>
      </w:r>
      <w:r w:rsidR="00536781">
        <w:rPr>
          <w:rFonts w:ascii="Arial" w:hAnsi="Arial" w:cs="Arial"/>
          <w:color w:val="auto"/>
        </w:rPr>
        <w:t>,</w:t>
      </w:r>
      <w:r w:rsidR="00536781" w:rsidRPr="005D612E">
        <w:rPr>
          <w:rFonts w:ascii="Arial" w:hAnsi="Arial" w:cs="Arial"/>
          <w:color w:val="auto"/>
        </w:rPr>
        <w:t xml:space="preserve"> toward</w:t>
      </w:r>
      <w:r w:rsidRPr="005D612E">
        <w:rPr>
          <w:rFonts w:ascii="Arial" w:hAnsi="Arial" w:cs="Arial"/>
          <w:color w:val="auto"/>
        </w:rPr>
        <w:t xml:space="preserve"> Global South institutional contexts not as peripheral test cases but as primary sites of analysis whose examination is essential to any non-distorting account of how datafied governance operates in the world. The 42 sources synthesised in this review, drawn from across education studies, critical data studies, postcolonial theory, and STS, converge on a coherent set of analytical conclusions: that datafied governance technologies developed for Global North educational contexts reproduce colonial knowledge hierarchies when transferred unreflectively to under-resourced Global South school systems; that teacher professional autonomy is systematically eroded by algorithmic managerialism in ways that are structurally more severe in under-resourced contexts; that students are rendered as institutional data objects in ways that are unequally distributed across social position; and that the international AI governance frameworks currently proliferating bear a structural mismatch to the institutional realities of Global South public schooling.</w:t>
      </w:r>
    </w:p>
    <w:p w14:paraId="7692F3EA" w14:textId="56328CA3" w:rsidR="00765F7C" w:rsidRPr="005D612E" w:rsidRDefault="00000000" w:rsidP="00E72C3E">
      <w:pPr>
        <w:rPr>
          <w:rFonts w:ascii="Arial" w:hAnsi="Arial" w:cs="Arial"/>
          <w:color w:val="auto"/>
        </w:rPr>
      </w:pPr>
      <w:r w:rsidRPr="005D612E">
        <w:rPr>
          <w:rFonts w:ascii="Arial" w:hAnsi="Arial" w:cs="Arial"/>
          <w:color w:val="auto"/>
        </w:rPr>
        <w:t xml:space="preserve">The Datafied Coloniality in Education (DCE) framework proposed in this review provides a theoretically rigorous, empirically generative, and politically committed tool for advancing research that takes these conclusions seriously. By specifying the </w:t>
      </w:r>
      <w:r w:rsidR="00536781" w:rsidRPr="005D612E">
        <w:rPr>
          <w:rFonts w:ascii="Arial" w:hAnsi="Arial" w:cs="Arial"/>
          <w:color w:val="auto"/>
        </w:rPr>
        <w:t>mechanisms</w:t>
      </w:r>
      <w:r w:rsidR="00536781">
        <w:rPr>
          <w:rFonts w:ascii="Arial" w:hAnsi="Arial" w:cs="Arial"/>
          <w:color w:val="auto"/>
        </w:rPr>
        <w:t>,</w:t>
      </w:r>
      <w:r w:rsidR="00536781" w:rsidRPr="005D612E">
        <w:rPr>
          <w:rFonts w:ascii="Arial" w:hAnsi="Arial" w:cs="Arial"/>
          <w:color w:val="auto"/>
        </w:rPr>
        <w:t xml:space="preserve"> epistemic</w:t>
      </w:r>
      <w:r w:rsidRPr="005D612E">
        <w:rPr>
          <w:rFonts w:ascii="Arial" w:hAnsi="Arial" w:cs="Arial"/>
          <w:color w:val="auto"/>
        </w:rPr>
        <w:t xml:space="preserve"> appropriation, structural amplification, and subject </w:t>
      </w:r>
      <w:r w:rsidR="00536781" w:rsidRPr="005D612E">
        <w:rPr>
          <w:rFonts w:ascii="Arial" w:hAnsi="Arial" w:cs="Arial"/>
          <w:color w:val="auto"/>
        </w:rPr>
        <w:t>formation</w:t>
      </w:r>
      <w:r w:rsidR="00536781">
        <w:rPr>
          <w:rFonts w:ascii="Arial" w:hAnsi="Arial" w:cs="Arial"/>
          <w:color w:val="auto"/>
        </w:rPr>
        <w:t>,</w:t>
      </w:r>
      <w:r w:rsidR="00536781" w:rsidRPr="005D612E">
        <w:rPr>
          <w:rFonts w:ascii="Arial" w:hAnsi="Arial" w:cs="Arial"/>
          <w:color w:val="auto"/>
        </w:rPr>
        <w:t xml:space="preserve"> through</w:t>
      </w:r>
      <w:r w:rsidRPr="005D612E">
        <w:rPr>
          <w:rFonts w:ascii="Arial" w:hAnsi="Arial" w:cs="Arial"/>
          <w:color w:val="auto"/>
        </w:rPr>
        <w:t xml:space="preserve"> which global data governance logics enact colonial relations in under-resourced public schooling, DCE names a structural dynamic that must be understood analytically before it can be challenged institutionally. Future research guided by DCE should ask not only 'how does datafication work?' but 'in whose interest does it work, whose knowledge does it silence, and what forms of professional agency and institutional resistance does it leave open?' Those are questions that can only be answered in the institutional texture of specific schools, specific systems, and specific </w:t>
      </w:r>
      <w:r w:rsidR="00536781" w:rsidRPr="005D612E">
        <w:rPr>
          <w:rFonts w:ascii="Arial" w:hAnsi="Arial" w:cs="Arial"/>
          <w:color w:val="auto"/>
        </w:rPr>
        <w:t>communities</w:t>
      </w:r>
      <w:r w:rsidR="00536781">
        <w:rPr>
          <w:rFonts w:ascii="Arial" w:hAnsi="Arial" w:cs="Arial"/>
          <w:color w:val="auto"/>
        </w:rPr>
        <w:t>,</w:t>
      </w:r>
      <w:r w:rsidR="00536781" w:rsidRPr="005D612E">
        <w:rPr>
          <w:rFonts w:ascii="Arial" w:hAnsi="Arial" w:cs="Arial"/>
          <w:color w:val="auto"/>
        </w:rPr>
        <w:t xml:space="preserve"> and</w:t>
      </w:r>
      <w:r w:rsidRPr="005D612E">
        <w:rPr>
          <w:rFonts w:ascii="Arial" w:hAnsi="Arial" w:cs="Arial"/>
          <w:color w:val="auto"/>
        </w:rPr>
        <w:t xml:space="preserve"> it is in those places that the most important scholarly work in this field now needs to be done.</w:t>
      </w:r>
    </w:p>
    <w:p w14:paraId="5C760DA2" w14:textId="77777777" w:rsidR="0093427F" w:rsidRPr="005D612E" w:rsidRDefault="0093427F">
      <w:pPr>
        <w:spacing w:before="40" w:after="40"/>
        <w:rPr>
          <w:rFonts w:ascii="Arial" w:hAnsi="Arial" w:cs="Arial"/>
          <w:color w:val="auto"/>
        </w:rPr>
      </w:pPr>
    </w:p>
    <w:p w14:paraId="41D2785C" w14:textId="77777777" w:rsidR="00765F7C" w:rsidRPr="005D612E" w:rsidRDefault="00000000">
      <w:pPr>
        <w:pStyle w:val="Heading2"/>
        <w:rPr>
          <w:rFonts w:cs="Arial"/>
        </w:rPr>
      </w:pPr>
      <w:r w:rsidRPr="005D612E">
        <w:rPr>
          <w:rFonts w:cs="Arial"/>
        </w:rPr>
        <w:t>Declarations</w:t>
      </w:r>
    </w:p>
    <w:p w14:paraId="426045E7" w14:textId="77777777" w:rsidR="00765F7C" w:rsidRPr="005D612E" w:rsidRDefault="00000000">
      <w:pPr>
        <w:spacing w:before="80" w:after="80" w:line="480" w:lineRule="auto"/>
        <w:rPr>
          <w:rFonts w:ascii="Arial" w:hAnsi="Arial" w:cs="Arial"/>
          <w:color w:val="auto"/>
        </w:rPr>
      </w:pPr>
      <w:r w:rsidRPr="005D612E">
        <w:rPr>
          <w:rFonts w:ascii="Arial" w:hAnsi="Arial" w:cs="Arial"/>
          <w:b/>
          <w:bCs/>
          <w:color w:val="auto"/>
        </w:rPr>
        <w:t xml:space="preserve">Conflict of Interest: </w:t>
      </w:r>
      <w:r w:rsidRPr="005D612E">
        <w:rPr>
          <w:rFonts w:ascii="Arial" w:hAnsi="Arial" w:cs="Arial"/>
          <w:color w:val="auto"/>
        </w:rPr>
        <w:t>The author declares no conflict of interest.</w:t>
      </w:r>
    </w:p>
    <w:p w14:paraId="026678A7" w14:textId="77777777" w:rsidR="00765F7C" w:rsidRPr="005D612E" w:rsidRDefault="00000000">
      <w:pPr>
        <w:spacing w:before="80" w:after="80" w:line="480" w:lineRule="auto"/>
        <w:rPr>
          <w:rFonts w:ascii="Arial" w:hAnsi="Arial" w:cs="Arial"/>
          <w:color w:val="auto"/>
        </w:rPr>
      </w:pPr>
      <w:r w:rsidRPr="005D612E">
        <w:rPr>
          <w:rFonts w:ascii="Arial" w:hAnsi="Arial" w:cs="Arial"/>
          <w:b/>
          <w:bCs/>
          <w:color w:val="auto"/>
        </w:rPr>
        <w:t xml:space="preserve">Funding: </w:t>
      </w:r>
      <w:r w:rsidRPr="005D612E">
        <w:rPr>
          <w:rFonts w:ascii="Arial" w:hAnsi="Arial" w:cs="Arial"/>
          <w:color w:val="auto"/>
        </w:rPr>
        <w:t>This review received no specific grant from any funding agency in the public, commercial, or not-for-profit sectors.</w:t>
      </w:r>
    </w:p>
    <w:p w14:paraId="302F47F4" w14:textId="77777777" w:rsidR="00765F7C" w:rsidRPr="005D612E" w:rsidRDefault="00000000">
      <w:pPr>
        <w:spacing w:before="80" w:after="80" w:line="480" w:lineRule="auto"/>
        <w:rPr>
          <w:rFonts w:ascii="Arial" w:hAnsi="Arial" w:cs="Arial"/>
          <w:color w:val="auto"/>
        </w:rPr>
      </w:pPr>
      <w:r w:rsidRPr="005D612E">
        <w:rPr>
          <w:rFonts w:ascii="Arial" w:hAnsi="Arial" w:cs="Arial"/>
          <w:b/>
          <w:bCs/>
          <w:color w:val="auto"/>
        </w:rPr>
        <w:t xml:space="preserve">Ethics Statement: </w:t>
      </w:r>
      <w:r w:rsidRPr="005D612E">
        <w:rPr>
          <w:rFonts w:ascii="Arial" w:hAnsi="Arial" w:cs="Arial"/>
          <w:color w:val="auto"/>
        </w:rPr>
        <w:t>As a secondary synthesis of published literature, no primary data were collected. Ethical approval was not required.</w:t>
      </w:r>
    </w:p>
    <w:p w14:paraId="20E838B5" w14:textId="77777777" w:rsidR="00765F7C" w:rsidRPr="005D612E" w:rsidRDefault="00000000">
      <w:pPr>
        <w:spacing w:before="80" w:after="80" w:line="480" w:lineRule="auto"/>
        <w:rPr>
          <w:rFonts w:ascii="Arial" w:hAnsi="Arial" w:cs="Arial"/>
          <w:color w:val="auto"/>
        </w:rPr>
      </w:pPr>
      <w:r w:rsidRPr="005D612E">
        <w:rPr>
          <w:rFonts w:ascii="Arial" w:hAnsi="Arial" w:cs="Arial"/>
          <w:b/>
          <w:bCs/>
          <w:color w:val="auto"/>
        </w:rPr>
        <w:t xml:space="preserve">Data Availability: </w:t>
      </w:r>
      <w:r w:rsidRPr="005D612E">
        <w:rPr>
          <w:rFonts w:ascii="Arial" w:hAnsi="Arial" w:cs="Arial"/>
          <w:color w:val="auto"/>
        </w:rPr>
        <w:t>The full corpus of included studies is documented in Table 1 and the reference list. No supplementary datasets were generated.</w:t>
      </w:r>
    </w:p>
    <w:p w14:paraId="0EAFE968" w14:textId="576F4F4E" w:rsidR="0093427F" w:rsidRPr="0093427F" w:rsidRDefault="0093427F" w:rsidP="0093427F">
      <w:pPr>
        <w:pStyle w:val="Heading2"/>
      </w:pPr>
      <w:r>
        <w:t>References</w:t>
      </w:r>
    </w:p>
    <w:p w14:paraId="0C4B0EE1" w14:textId="37F5DBA4"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Benjamin, R. (2019). Race after technology: Abolitionist tools for the new Jim Code. Polity Press.</w:t>
      </w:r>
    </w:p>
    <w:p w14:paraId="3686881C"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Bijker, W. E., Hughes, T. P., &amp; Pinch, T. (Eds.). (1987). The social construction of technological systems: New directions in the sociology and history of technology. MIT Press.</w:t>
      </w:r>
    </w:p>
    <w:p w14:paraId="622060C1" w14:textId="51520A0A"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Bradbury, A. (2019). Datafied at four: The role of data in the 'schoolification' of early childhood education in England. Learning, Media and Technology, 44(1), 7–21. </w:t>
      </w:r>
      <w:hyperlink r:id="rId9" w:history="1">
        <w:r w:rsidR="00765F7C" w:rsidRPr="005D612E">
          <w:rPr>
            <w:rStyle w:val="Hyperlink"/>
            <w:rFonts w:ascii="Arial" w:hAnsi="Arial" w:cs="Arial"/>
            <w:color w:val="auto"/>
            <w:sz w:val="20"/>
            <w:szCs w:val="20"/>
          </w:rPr>
          <w:t>https://doi.org/10.1080/17439884.2018.1511577</w:t>
        </w:r>
      </w:hyperlink>
      <w:r w:rsidRPr="005D612E">
        <w:rPr>
          <w:rFonts w:ascii="Arial" w:hAnsi="Arial" w:cs="Arial"/>
          <w:color w:val="auto"/>
          <w:sz w:val="20"/>
          <w:szCs w:val="20"/>
        </w:rPr>
        <w:t xml:space="preserve"> </w:t>
      </w:r>
    </w:p>
    <w:p w14:paraId="0F2CAA00"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Bradbury, A., &amp; Roberts-Holmes, G. (2017). The datafication of primary and early years education: Playing with numbers. Routledge.</w:t>
      </w:r>
    </w:p>
    <w:p w14:paraId="3F828C54" w14:textId="6B43B1C9"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Couldry, N., &amp; Mejias, U. A. (2019). Data colonialism: Rethinking big data's relation to the contemporary subject. Television &amp; New Media, 20(4), 336–349. </w:t>
      </w:r>
      <w:hyperlink r:id="rId10" w:history="1">
        <w:r w:rsidR="00765F7C" w:rsidRPr="005D612E">
          <w:rPr>
            <w:rStyle w:val="Hyperlink"/>
            <w:rFonts w:ascii="Arial" w:hAnsi="Arial" w:cs="Arial"/>
            <w:color w:val="auto"/>
            <w:sz w:val="20"/>
            <w:szCs w:val="20"/>
          </w:rPr>
          <w:t>https://doi.org/10.1177/1527476418796632</w:t>
        </w:r>
      </w:hyperlink>
      <w:r w:rsidRPr="005D612E">
        <w:rPr>
          <w:rFonts w:ascii="Arial" w:hAnsi="Arial" w:cs="Arial"/>
          <w:color w:val="auto"/>
          <w:sz w:val="20"/>
          <w:szCs w:val="20"/>
        </w:rPr>
        <w:t xml:space="preserve"> </w:t>
      </w:r>
    </w:p>
    <w:p w14:paraId="0E4E538D" w14:textId="2892D5AA"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Cukurova, M. (2025). The interplay of learning, analytics and artificial intelligence in education: A vision for hybrid intelligence. British Journal of Educational Technology, 56(2), 469–488. </w:t>
      </w:r>
      <w:hyperlink r:id="rId11" w:history="1">
        <w:r w:rsidR="00765F7C" w:rsidRPr="005D612E">
          <w:rPr>
            <w:rStyle w:val="Hyperlink"/>
            <w:rFonts w:ascii="Arial" w:hAnsi="Arial" w:cs="Arial"/>
            <w:color w:val="auto"/>
            <w:sz w:val="20"/>
            <w:szCs w:val="20"/>
          </w:rPr>
          <w:t>https://doi.org/10.1111/bjet.13514</w:t>
        </w:r>
      </w:hyperlink>
      <w:r w:rsidRPr="005D612E">
        <w:rPr>
          <w:rFonts w:ascii="Arial" w:hAnsi="Arial" w:cs="Arial"/>
          <w:color w:val="auto"/>
          <w:sz w:val="20"/>
          <w:szCs w:val="20"/>
        </w:rPr>
        <w:t xml:space="preserve"> </w:t>
      </w:r>
    </w:p>
    <w:p w14:paraId="6DE80450"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D'Ignazio, C., &amp; Klein, L. F. (2020). Data feminism. MIT Press.</w:t>
      </w:r>
    </w:p>
    <w:p w14:paraId="78FA64D3" w14:textId="086C02FC"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Daliri-Ngametua, R., Hardy, I., &amp; Creagh, S. (2022). Data performativity and the erosion of trust in teachers. Cambridge Journal of Education, 52(3), 391–407. </w:t>
      </w:r>
      <w:hyperlink r:id="rId12" w:history="1">
        <w:r w:rsidR="00765F7C" w:rsidRPr="005D612E">
          <w:rPr>
            <w:rStyle w:val="Hyperlink"/>
            <w:rFonts w:ascii="Arial" w:hAnsi="Arial" w:cs="Arial"/>
            <w:color w:val="auto"/>
            <w:sz w:val="20"/>
            <w:szCs w:val="20"/>
          </w:rPr>
          <w:t>https://doi.org/10.1080/0305764X.2021.2002811</w:t>
        </w:r>
      </w:hyperlink>
      <w:r w:rsidRPr="005D612E">
        <w:rPr>
          <w:rFonts w:ascii="Arial" w:hAnsi="Arial" w:cs="Arial"/>
          <w:color w:val="auto"/>
          <w:sz w:val="20"/>
          <w:szCs w:val="20"/>
        </w:rPr>
        <w:t xml:space="preserve"> </w:t>
      </w:r>
    </w:p>
    <w:p w14:paraId="38FAE4EB"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Eubanks, V. (2018). Automating inequality: How high-tech tools profile, police, and punish the poor. St. Martin's Press.</w:t>
      </w:r>
    </w:p>
    <w:p w14:paraId="0C2CE55D"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Foucault, M. (1991). Governmentality. In G. Burchell, C. Gordon, &amp; P. Miller (Eds.), The Foucault effect: Studies in governmentality (pp. 87–104). University of Chicago Press.</w:t>
      </w:r>
    </w:p>
    <w:p w14:paraId="3167DA08" w14:textId="47610D83"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Gillborn, D., Warmington, P., &amp; Demack, S. (2018). QuantCrit: Education, policy, 'Big Data' and principles for a critical race theory of statistics. Race Ethnicity and Education, 21(2), 158–179. </w:t>
      </w:r>
      <w:hyperlink r:id="rId13" w:history="1">
        <w:r w:rsidR="00765F7C" w:rsidRPr="005D612E">
          <w:rPr>
            <w:rStyle w:val="Hyperlink"/>
            <w:rFonts w:ascii="Arial" w:hAnsi="Arial" w:cs="Arial"/>
            <w:color w:val="auto"/>
            <w:sz w:val="20"/>
            <w:szCs w:val="20"/>
          </w:rPr>
          <w:t>https://doi.org/10.1080/13613324.2017.1377417</w:t>
        </w:r>
      </w:hyperlink>
      <w:r w:rsidRPr="005D612E">
        <w:rPr>
          <w:rFonts w:ascii="Arial" w:hAnsi="Arial" w:cs="Arial"/>
          <w:color w:val="auto"/>
          <w:sz w:val="20"/>
          <w:szCs w:val="20"/>
        </w:rPr>
        <w:t xml:space="preserve"> </w:t>
      </w:r>
    </w:p>
    <w:p w14:paraId="7824360D"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Grant, M. J., &amp; Booth, A. (2009). A typology of reviews: An analysis of 14 review types and associated methodologies. Health Information &amp; Libraries Journal, 26(2), 91–108. https://doi.org/10.1111/j.1471-1842.2009.00848.x</w:t>
      </w:r>
    </w:p>
    <w:p w14:paraId="203A8610" w14:textId="0E48AE11"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Gray, C. (2023). More than extraction: Rethinking data's colonial political economy. International Political Sociology, 17(2), olad007. </w:t>
      </w:r>
      <w:hyperlink r:id="rId14" w:history="1">
        <w:r w:rsidR="00765F7C" w:rsidRPr="005D612E">
          <w:rPr>
            <w:rStyle w:val="Hyperlink"/>
            <w:rFonts w:ascii="Arial" w:hAnsi="Arial" w:cs="Arial"/>
            <w:color w:val="auto"/>
            <w:sz w:val="20"/>
            <w:szCs w:val="20"/>
          </w:rPr>
          <w:t>https://doi.org/10.1093/ips/olad007</w:t>
        </w:r>
      </w:hyperlink>
      <w:r w:rsidRPr="005D612E">
        <w:rPr>
          <w:rFonts w:ascii="Arial" w:hAnsi="Arial" w:cs="Arial"/>
          <w:color w:val="auto"/>
          <w:sz w:val="20"/>
          <w:szCs w:val="20"/>
        </w:rPr>
        <w:t xml:space="preserve"> </w:t>
      </w:r>
    </w:p>
    <w:p w14:paraId="0035D8AD" w14:textId="1E8B3B50"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Hu, M., Li, S., Chen, Y., Li, X., &amp; Tong, X. (2025). Revisiting Foucault's panopticon: How does AI surveillance transform educational norms? British Journal of Sociology of Education, 46(4), 1–22. </w:t>
      </w:r>
      <w:hyperlink r:id="rId15" w:history="1">
        <w:r w:rsidR="00765F7C" w:rsidRPr="005D612E">
          <w:rPr>
            <w:rStyle w:val="Hyperlink"/>
            <w:rFonts w:ascii="Arial" w:hAnsi="Arial" w:cs="Arial"/>
            <w:color w:val="auto"/>
            <w:sz w:val="20"/>
            <w:szCs w:val="20"/>
          </w:rPr>
          <w:t>https://doi.org/10.1080/01425692.2025.2501118</w:t>
        </w:r>
      </w:hyperlink>
      <w:r w:rsidRPr="005D612E">
        <w:rPr>
          <w:rFonts w:ascii="Arial" w:hAnsi="Arial" w:cs="Arial"/>
          <w:color w:val="auto"/>
          <w:sz w:val="20"/>
          <w:szCs w:val="20"/>
        </w:rPr>
        <w:t xml:space="preserve"> </w:t>
      </w:r>
    </w:p>
    <w:p w14:paraId="2CC6158D" w14:textId="0B29D539" w:rsidR="00765F7C" w:rsidRPr="005D612E" w:rsidRDefault="003E13B8" w:rsidP="003E13B8">
      <w:pPr>
        <w:spacing w:before="60" w:after="60" w:line="320" w:lineRule="auto"/>
        <w:rPr>
          <w:rFonts w:ascii="Arial" w:hAnsi="Arial" w:cs="Arial"/>
          <w:color w:val="auto"/>
          <w:sz w:val="20"/>
          <w:szCs w:val="20"/>
        </w:rPr>
      </w:pPr>
      <w:r w:rsidRPr="005D612E">
        <w:rPr>
          <w:rFonts w:ascii="Arial" w:hAnsi="Arial" w:cs="Arial"/>
          <w:color w:val="auto"/>
          <w:sz w:val="20"/>
          <w:szCs w:val="20"/>
        </w:rPr>
        <w:t xml:space="preserve">Schlauch, Michael. (2021). Paolo Landri, Digital Governance of Education: Technology, Standards and Europeanization of Education, Bloomsbury, 2018. Tecnoscienza. 11. 10.6092/issn.2038-3460/17486. </w:t>
      </w:r>
    </w:p>
    <w:p w14:paraId="46359E9C"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Mayer-Schoenberger, V., &amp; Cukier, K. (2013). Big data: A revolution that will transform how we live, work, and think. Houghton Mifflin Harcourt.</w:t>
      </w:r>
    </w:p>
    <w:p w14:paraId="1212AD7A"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Milan, S., &amp; Treré, E. (2019). Big data from the South(s): Beyond data universalism. Television &amp; New Media, 20(4), 319–335. https://doi.org/10.1177/1527476419837739</w:t>
      </w:r>
    </w:p>
    <w:p w14:paraId="7195DCE3"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Mignolo, W. (2011). The darker side of Western modernity: Global futures, decolonial options. Duke University Press.</w:t>
      </w:r>
    </w:p>
    <w:p w14:paraId="1D47D9D1"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Noble, S. U. (2018). Algorithms of oppression: How search engines reinforce racism. NYU Press.</w:t>
      </w:r>
    </w:p>
    <w:p w14:paraId="687BE963"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Orlikowski, W. J. (2007). Sociomaterial practices: Exploring technology at work. Organization Studies, 28(9), 1435–1448. https://doi.org/10.1177/0170840607081138</w:t>
      </w:r>
    </w:p>
    <w:p w14:paraId="74B55939"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Page, M. J., McKenzie, J. E., Bossuyt, P. M., Boutron, I., Hoffmann, T. C., Mulrow, C. D., … Moher, D. (2021). The PRISMA 2020 statement: An updated guideline for reporting systematic reviews. BMJ, 372, n71. https://doi.org/10.1136/bmj.n71</w:t>
      </w:r>
    </w:p>
    <w:p w14:paraId="6C2CCCE0"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Pakistan Federal Cabinet. (2025). National Artificial Intelligence Policy 2025. Ministry of Information Technology &amp; Telecommunication, Government of Pakistan.</w:t>
      </w:r>
    </w:p>
    <w:p w14:paraId="0DBCA03E"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Pangrazio, L., &amp; Selwyn, N. (2023). Critical data literacies. MIT Press.</w:t>
      </w:r>
    </w:p>
    <w:p w14:paraId="185C2F89" w14:textId="429C5116"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Pangrazio, L., Selwyn, N., &amp; Cumbo, B. (2023). A patchwork of platforms: Mapping data infrastructures in schools. Learning, Media and Technology, 48(1), 65–80. </w:t>
      </w:r>
      <w:hyperlink r:id="rId16" w:history="1">
        <w:r w:rsidR="00765F7C" w:rsidRPr="005D612E">
          <w:rPr>
            <w:rStyle w:val="Hyperlink"/>
            <w:rFonts w:ascii="Arial" w:hAnsi="Arial" w:cs="Arial"/>
            <w:color w:val="auto"/>
            <w:sz w:val="20"/>
            <w:szCs w:val="20"/>
          </w:rPr>
          <w:t>https://doi.org/10.1080/17439884.2022.2035395</w:t>
        </w:r>
      </w:hyperlink>
      <w:r w:rsidRPr="005D612E">
        <w:rPr>
          <w:rFonts w:ascii="Arial" w:hAnsi="Arial" w:cs="Arial"/>
          <w:color w:val="auto"/>
          <w:sz w:val="20"/>
          <w:szCs w:val="20"/>
        </w:rPr>
        <w:t xml:space="preserve"> </w:t>
      </w:r>
    </w:p>
    <w:p w14:paraId="23985969"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Pesek, I. (2026). Rethinking education governance in the age of AI. Frontiers of Digital Education, 3(1), 11. https://doi.org/10.1007/s44366-026-0085-z</w:t>
      </w:r>
    </w:p>
    <w:p w14:paraId="26AAE54A" w14:textId="199A83BB"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Rafiq-uz-Zaman, M. (2025). Between adoption and ambiguity: Navigating the AI policy vacuum in Pakistani higher education. Research Journal for Social Affairs, 3(6), 877–885. </w:t>
      </w:r>
      <w:hyperlink r:id="rId17" w:history="1">
        <w:r w:rsidR="00765F7C" w:rsidRPr="005D612E">
          <w:rPr>
            <w:rStyle w:val="Hyperlink"/>
            <w:rFonts w:ascii="Arial" w:hAnsi="Arial" w:cs="Arial"/>
            <w:color w:val="auto"/>
            <w:sz w:val="20"/>
            <w:szCs w:val="20"/>
          </w:rPr>
          <w:t>https://doi.org/10.71317/RJSA.003.06.0523</w:t>
        </w:r>
      </w:hyperlink>
      <w:r w:rsidRPr="005D612E">
        <w:rPr>
          <w:rFonts w:ascii="Arial" w:hAnsi="Arial" w:cs="Arial"/>
          <w:color w:val="auto"/>
          <w:sz w:val="20"/>
          <w:szCs w:val="20"/>
        </w:rPr>
        <w:t xml:space="preserve"> </w:t>
      </w:r>
    </w:p>
    <w:p w14:paraId="052B210D" w14:textId="0DBC1D1D"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Ricaurte, P. (2019). Data epistemologies, the coloniality of power, and resistance. Television &amp; New Media, 20(4), 350–365. </w:t>
      </w:r>
      <w:hyperlink r:id="rId18" w:history="1">
        <w:r w:rsidR="00765F7C" w:rsidRPr="005D612E">
          <w:rPr>
            <w:rStyle w:val="Hyperlink"/>
            <w:rFonts w:ascii="Arial" w:hAnsi="Arial" w:cs="Arial"/>
            <w:color w:val="auto"/>
            <w:sz w:val="20"/>
            <w:szCs w:val="20"/>
          </w:rPr>
          <w:t>https://doi.org/10.1177/1527476419831640</w:t>
        </w:r>
      </w:hyperlink>
      <w:r w:rsidRPr="005D612E">
        <w:rPr>
          <w:rFonts w:ascii="Arial" w:hAnsi="Arial" w:cs="Arial"/>
          <w:color w:val="auto"/>
          <w:sz w:val="20"/>
          <w:szCs w:val="20"/>
        </w:rPr>
        <w:t xml:space="preserve"> </w:t>
      </w:r>
    </w:p>
    <w:p w14:paraId="629FA90B"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Rouvroy, A., &amp; Berns, T. (2013). Algorithmic governmentality and prospects of emancipation. Réseaux, 177(1), 163–196. https://doi.org/10.3917/res.177.0163</w:t>
      </w:r>
    </w:p>
    <w:p w14:paraId="2224E31D"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Selwyn, N. (2015). Data entry: Towards the critical study of digital data and education. Learning, Media and Technology, 40(1), 64–82. https://doi.org/10.1080/17439884.2014.921628</w:t>
      </w:r>
    </w:p>
    <w:p w14:paraId="7C299A63"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Selwyn, N. (2020). Should robots replace teachers? AI and the future of education. Polity Press.</w:t>
      </w:r>
    </w:p>
    <w:p w14:paraId="6314B369" w14:textId="10A826C9"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Taylor, L., &amp; Broeders, D. (2015). In the name of development: Power, profit and the datafication of the global South. Geoforum, 64, 229–237. </w:t>
      </w:r>
      <w:hyperlink r:id="rId19" w:history="1">
        <w:r w:rsidR="00765F7C" w:rsidRPr="005D612E">
          <w:rPr>
            <w:rStyle w:val="Hyperlink"/>
            <w:rFonts w:ascii="Arial" w:hAnsi="Arial" w:cs="Arial"/>
            <w:color w:val="auto"/>
            <w:sz w:val="20"/>
            <w:szCs w:val="20"/>
          </w:rPr>
          <w:t>https://doi.org/10.1016/j.geoforum.2015.07.002</w:t>
        </w:r>
      </w:hyperlink>
      <w:r w:rsidRPr="005D612E">
        <w:rPr>
          <w:rFonts w:ascii="Arial" w:hAnsi="Arial" w:cs="Arial"/>
          <w:color w:val="auto"/>
          <w:sz w:val="20"/>
          <w:szCs w:val="20"/>
        </w:rPr>
        <w:t xml:space="preserve"> </w:t>
      </w:r>
    </w:p>
    <w:p w14:paraId="2C33AF45"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Thomas, J., &amp; Harden, A. (2008). Methods for the thematic synthesis of qualitative research in systematic reviews. BMC Medical Research Methodology, 8, 45. https://doi.org/10.1186/1471-2288-8-45</w:t>
      </w:r>
    </w:p>
    <w:p w14:paraId="55D7A1AA" w14:textId="26D940F3"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Thomas, M. A. M., Serenje, J., &amp; Chipindi, F. M. (2023). Reconsidering and teaching sociologies in Zambian teacher education: Seeking Mbuyi, Mulenga, and Munkombwe. British Journal of Sociology of Education, 44(7), 1199–1215. </w:t>
      </w:r>
      <w:hyperlink r:id="rId20" w:history="1">
        <w:r w:rsidR="00765F7C" w:rsidRPr="005D612E">
          <w:rPr>
            <w:rStyle w:val="Hyperlink"/>
            <w:rFonts w:ascii="Arial" w:hAnsi="Arial" w:cs="Arial"/>
            <w:color w:val="auto"/>
            <w:sz w:val="20"/>
            <w:szCs w:val="20"/>
          </w:rPr>
          <w:t>https://doi.org/10.1080/01425692.2023.2256987</w:t>
        </w:r>
      </w:hyperlink>
      <w:r w:rsidRPr="005D612E">
        <w:rPr>
          <w:rFonts w:ascii="Arial" w:hAnsi="Arial" w:cs="Arial"/>
          <w:color w:val="auto"/>
          <w:sz w:val="20"/>
          <w:szCs w:val="20"/>
        </w:rPr>
        <w:t xml:space="preserve"> </w:t>
      </w:r>
    </w:p>
    <w:p w14:paraId="4C61C80E"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Tikly, L. (2020). Education for sustainable development in the postcolonial world: Towards a transformative agenda for Africa. Routledge.</w:t>
      </w:r>
    </w:p>
    <w:p w14:paraId="5E449DFF" w14:textId="5F220D39"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Torraco, R. J. (2016). Writing integrative literature reviews: Using the past and present to explore the future. Human Resource Development Review, 15(4), 404–428. </w:t>
      </w:r>
      <w:hyperlink r:id="rId21" w:history="1">
        <w:r w:rsidR="00765F7C" w:rsidRPr="005D612E">
          <w:rPr>
            <w:rStyle w:val="Hyperlink"/>
            <w:rFonts w:ascii="Arial" w:hAnsi="Arial" w:cs="Arial"/>
            <w:color w:val="auto"/>
            <w:sz w:val="20"/>
            <w:szCs w:val="20"/>
          </w:rPr>
          <w:t>https://doi.org/10.1177/1534484316671606</w:t>
        </w:r>
      </w:hyperlink>
      <w:r w:rsidRPr="005D612E">
        <w:rPr>
          <w:rFonts w:ascii="Arial" w:hAnsi="Arial" w:cs="Arial"/>
          <w:color w:val="auto"/>
          <w:sz w:val="20"/>
          <w:szCs w:val="20"/>
        </w:rPr>
        <w:t xml:space="preserve"> </w:t>
      </w:r>
    </w:p>
    <w:p w14:paraId="096E2279" w14:textId="78AD65C9"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UNESCO. (2023). Global education monitoring report 2023: Technology in </w:t>
      </w:r>
      <w:proofErr w:type="spellStart"/>
      <w:proofErr w:type="gramStart"/>
      <w:r w:rsidRPr="005D612E">
        <w:rPr>
          <w:rFonts w:ascii="Arial" w:hAnsi="Arial" w:cs="Arial"/>
          <w:color w:val="auto"/>
          <w:sz w:val="20"/>
          <w:szCs w:val="20"/>
        </w:rPr>
        <w:t>education</w:t>
      </w:r>
      <w:r w:rsidR="00536781">
        <w:rPr>
          <w:rFonts w:ascii="Arial" w:hAnsi="Arial" w:cs="Arial"/>
          <w:color w:val="auto"/>
          <w:sz w:val="20"/>
          <w:szCs w:val="20"/>
        </w:rPr>
        <w:t>,</w:t>
      </w:r>
      <w:r w:rsidRPr="005D612E">
        <w:rPr>
          <w:rFonts w:ascii="Arial" w:hAnsi="Arial" w:cs="Arial"/>
          <w:color w:val="auto"/>
          <w:sz w:val="20"/>
          <w:szCs w:val="20"/>
        </w:rPr>
        <w:t>A</w:t>
      </w:r>
      <w:proofErr w:type="spellEnd"/>
      <w:proofErr w:type="gramEnd"/>
      <w:r w:rsidRPr="005D612E">
        <w:rPr>
          <w:rFonts w:ascii="Arial" w:hAnsi="Arial" w:cs="Arial"/>
          <w:color w:val="auto"/>
          <w:sz w:val="20"/>
          <w:szCs w:val="20"/>
        </w:rPr>
        <w:t xml:space="preserve"> tool on whose terms? UNESCO. </w:t>
      </w:r>
      <w:hyperlink r:id="rId22" w:history="1">
        <w:r w:rsidR="00765F7C" w:rsidRPr="005D612E">
          <w:rPr>
            <w:rStyle w:val="Hyperlink"/>
            <w:rFonts w:ascii="Arial" w:hAnsi="Arial" w:cs="Arial"/>
            <w:color w:val="auto"/>
            <w:sz w:val="20"/>
            <w:szCs w:val="20"/>
          </w:rPr>
          <w:t>https://doi.org/10.54676/UZQV8501</w:t>
        </w:r>
      </w:hyperlink>
      <w:r w:rsidRPr="005D612E">
        <w:rPr>
          <w:rFonts w:ascii="Arial" w:hAnsi="Arial" w:cs="Arial"/>
          <w:color w:val="auto"/>
          <w:sz w:val="20"/>
          <w:szCs w:val="20"/>
        </w:rPr>
        <w:t xml:space="preserve"> </w:t>
      </w:r>
    </w:p>
    <w:p w14:paraId="612D1F79" w14:textId="7EF7ED7C"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UNICEF Innocenti. (2025). Data governance for EdTech. UNICEF Office of </w:t>
      </w:r>
      <w:proofErr w:type="spellStart"/>
      <w:proofErr w:type="gramStart"/>
      <w:r w:rsidRPr="005D612E">
        <w:rPr>
          <w:rFonts w:ascii="Arial" w:hAnsi="Arial" w:cs="Arial"/>
          <w:color w:val="auto"/>
          <w:sz w:val="20"/>
          <w:szCs w:val="20"/>
        </w:rPr>
        <w:t>Research</w:t>
      </w:r>
      <w:r w:rsidR="00536781">
        <w:rPr>
          <w:rFonts w:ascii="Arial" w:hAnsi="Arial" w:cs="Arial"/>
          <w:color w:val="auto"/>
          <w:sz w:val="20"/>
          <w:szCs w:val="20"/>
        </w:rPr>
        <w:t>,</w:t>
      </w:r>
      <w:r w:rsidRPr="005D612E">
        <w:rPr>
          <w:rFonts w:ascii="Arial" w:hAnsi="Arial" w:cs="Arial"/>
          <w:color w:val="auto"/>
          <w:sz w:val="20"/>
          <w:szCs w:val="20"/>
        </w:rPr>
        <w:t>Innocenti</w:t>
      </w:r>
      <w:proofErr w:type="spellEnd"/>
      <w:proofErr w:type="gramEnd"/>
      <w:r w:rsidRPr="005D612E">
        <w:rPr>
          <w:rFonts w:ascii="Arial" w:hAnsi="Arial" w:cs="Arial"/>
          <w:color w:val="auto"/>
          <w:sz w:val="20"/>
          <w:szCs w:val="20"/>
        </w:rPr>
        <w:t xml:space="preserve">. Available at: </w:t>
      </w:r>
      <w:hyperlink r:id="rId23" w:history="1">
        <w:r w:rsidR="00765F7C" w:rsidRPr="005D612E">
          <w:rPr>
            <w:rStyle w:val="Hyperlink"/>
            <w:rFonts w:ascii="Arial" w:hAnsi="Arial" w:cs="Arial"/>
            <w:color w:val="auto"/>
            <w:sz w:val="20"/>
            <w:szCs w:val="20"/>
          </w:rPr>
          <w:t>https://www.unicef.org/innocenti/reports/data-governance-edtech</w:t>
        </w:r>
      </w:hyperlink>
      <w:r w:rsidRPr="005D612E">
        <w:rPr>
          <w:rFonts w:ascii="Arial" w:hAnsi="Arial" w:cs="Arial"/>
          <w:color w:val="auto"/>
          <w:sz w:val="20"/>
          <w:szCs w:val="20"/>
        </w:rPr>
        <w:t xml:space="preserve"> (Accessed on: 10 April, 2026)</w:t>
      </w:r>
    </w:p>
    <w:p w14:paraId="1B1D428C" w14:textId="3AAA7FEF"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 xml:space="preserve">van Dijck, J. (2014). Datafication, dataism and dataveillance: Big data between scientific paradigm and ideology. Surveillance &amp; Society, 12(3), 197–208. </w:t>
      </w:r>
      <w:hyperlink r:id="rId24" w:history="1">
        <w:r w:rsidR="00765F7C" w:rsidRPr="005D612E">
          <w:rPr>
            <w:rStyle w:val="Hyperlink"/>
            <w:rFonts w:ascii="Arial" w:hAnsi="Arial" w:cs="Arial"/>
            <w:color w:val="auto"/>
            <w:sz w:val="20"/>
            <w:szCs w:val="20"/>
          </w:rPr>
          <w:t>https://doi.org/10.24908/ss.v12i2.4776</w:t>
        </w:r>
      </w:hyperlink>
      <w:r w:rsidRPr="005D612E">
        <w:rPr>
          <w:rFonts w:ascii="Arial" w:hAnsi="Arial" w:cs="Arial"/>
          <w:color w:val="auto"/>
          <w:sz w:val="20"/>
          <w:szCs w:val="20"/>
        </w:rPr>
        <w:t xml:space="preserve"> </w:t>
      </w:r>
    </w:p>
    <w:p w14:paraId="4C8EA351"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Whittemore, R., &amp; Knafl, K. (2005). The integrative review: Updated methodology. Journal of Advanced Nursing, 52(5), 546–553. https://doi.org/10.1111/j.1365-2648.2005.03621.x</w:t>
      </w:r>
    </w:p>
    <w:p w14:paraId="171C2595"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Williamson, B. (2017). Big data in education: The digital future of learning, policy and practice. SAGE.</w:t>
      </w:r>
    </w:p>
    <w:p w14:paraId="3262B7B2"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World Bank. (2022). The promise of education systems data for evidence-based learning. World Bank Education Global Practice.</w:t>
      </w:r>
    </w:p>
    <w:p w14:paraId="102DF930" w14:textId="77777777" w:rsidR="00765F7C" w:rsidRPr="005D612E" w:rsidRDefault="00000000" w:rsidP="00727C71">
      <w:pPr>
        <w:spacing w:before="60" w:after="60" w:line="320" w:lineRule="auto"/>
        <w:rPr>
          <w:rFonts w:ascii="Arial" w:hAnsi="Arial" w:cs="Arial"/>
          <w:color w:val="auto"/>
        </w:rPr>
      </w:pPr>
      <w:r w:rsidRPr="005D612E">
        <w:rPr>
          <w:rFonts w:ascii="Arial" w:hAnsi="Arial" w:cs="Arial"/>
          <w:color w:val="auto"/>
          <w:sz w:val="20"/>
          <w:szCs w:val="20"/>
        </w:rPr>
        <w:t>Yin, R. K. (2018). Case study research and applications: Design and methods (6th ed.). SAGE.</w:t>
      </w:r>
    </w:p>
    <w:p w14:paraId="4EBD71E4" w14:textId="77777777" w:rsidR="00765F7C" w:rsidRPr="005D612E" w:rsidRDefault="00765F7C">
      <w:pPr>
        <w:spacing w:before="60" w:after="60"/>
        <w:rPr>
          <w:rFonts w:ascii="Arial" w:hAnsi="Arial" w:cs="Arial"/>
          <w:color w:val="auto"/>
        </w:rPr>
      </w:pPr>
    </w:p>
    <w:sectPr w:rsidR="00765F7C" w:rsidRPr="005D612E">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E80A6A" w14:textId="77777777" w:rsidR="00C33B23" w:rsidRDefault="00C33B23">
      <w:pPr>
        <w:spacing w:line="240" w:lineRule="auto"/>
      </w:pPr>
      <w:r>
        <w:separator/>
      </w:r>
    </w:p>
  </w:endnote>
  <w:endnote w:type="continuationSeparator" w:id="0">
    <w:p w14:paraId="75474494" w14:textId="77777777" w:rsidR="00C33B23" w:rsidRDefault="00C33B2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84A48" w14:textId="77777777" w:rsidR="00C33B23" w:rsidRDefault="00C33B23">
      <w:pPr>
        <w:spacing w:line="240" w:lineRule="auto"/>
      </w:pPr>
      <w:r>
        <w:separator/>
      </w:r>
    </w:p>
  </w:footnote>
  <w:footnote w:type="continuationSeparator" w:id="0">
    <w:p w14:paraId="37BD7673" w14:textId="77777777" w:rsidR="00C33B23" w:rsidRDefault="00C33B23">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8653F"/>
    <w:multiLevelType w:val="hybridMultilevel"/>
    <w:tmpl w:val="3CFC13B8"/>
    <w:lvl w:ilvl="0" w:tplc="DAFEED3A">
      <w:start w:val="1"/>
      <w:numFmt w:val="decimal"/>
      <w:lvlText w:val="%1."/>
      <w:lvlJc w:val="left"/>
      <w:pPr>
        <w:spacing w:before="40" w:after="40" w:line="360" w:lineRule="auto"/>
        <w:ind w:left="600" w:hanging="300"/>
      </w:pPr>
      <w:rPr>
        <w:rFonts w:asciiTheme="minorBidi" w:eastAsia="Times New Roman" w:hAnsiTheme="minorBidi" w:cstheme="minorBidi" w:hint="default"/>
        <w:sz w:val="22"/>
        <w:szCs w:val="22"/>
      </w:rPr>
    </w:lvl>
    <w:lvl w:ilvl="1" w:tplc="1A1E4780">
      <w:numFmt w:val="decimal"/>
      <w:lvlText w:val=""/>
      <w:lvlJc w:val="left"/>
    </w:lvl>
    <w:lvl w:ilvl="2" w:tplc="4ECA32F8">
      <w:numFmt w:val="decimal"/>
      <w:lvlText w:val=""/>
      <w:lvlJc w:val="left"/>
    </w:lvl>
    <w:lvl w:ilvl="3" w:tplc="A6B290D2">
      <w:numFmt w:val="decimal"/>
      <w:lvlText w:val=""/>
      <w:lvlJc w:val="left"/>
    </w:lvl>
    <w:lvl w:ilvl="4" w:tplc="4322EEA2">
      <w:numFmt w:val="decimal"/>
      <w:lvlText w:val=""/>
      <w:lvlJc w:val="left"/>
    </w:lvl>
    <w:lvl w:ilvl="5" w:tplc="6A887B4C">
      <w:numFmt w:val="decimal"/>
      <w:lvlText w:val=""/>
      <w:lvlJc w:val="left"/>
    </w:lvl>
    <w:lvl w:ilvl="6" w:tplc="7EB2D7F2">
      <w:numFmt w:val="decimal"/>
      <w:lvlText w:val=""/>
      <w:lvlJc w:val="left"/>
    </w:lvl>
    <w:lvl w:ilvl="7" w:tplc="E578EA44">
      <w:numFmt w:val="decimal"/>
      <w:lvlText w:val=""/>
      <w:lvlJc w:val="left"/>
    </w:lvl>
    <w:lvl w:ilvl="8" w:tplc="C020311E">
      <w:numFmt w:val="decimal"/>
      <w:lvlText w:val=""/>
      <w:lvlJc w:val="left"/>
    </w:lvl>
  </w:abstractNum>
  <w:abstractNum w:abstractNumId="1" w15:restartNumberingAfterBreak="0">
    <w:nsid w:val="251E2A10"/>
    <w:multiLevelType w:val="hybridMultilevel"/>
    <w:tmpl w:val="BA16615E"/>
    <w:lvl w:ilvl="0" w:tplc="AFE8CAA4">
      <w:start w:val="1"/>
      <w:numFmt w:val="bullet"/>
      <w:lvlText w:val="•"/>
      <w:lvlJc w:val="left"/>
      <w:pPr>
        <w:spacing w:before="40" w:after="40" w:line="360" w:lineRule="auto"/>
        <w:ind w:left="600" w:hanging="300"/>
      </w:pPr>
      <w:rPr>
        <w:rFonts w:ascii="Times New Roman" w:eastAsia="Times New Roman" w:hAnsi="Times New Roman" w:cs="Times New Roman"/>
        <w:sz w:val="22"/>
        <w:szCs w:val="22"/>
      </w:rPr>
    </w:lvl>
    <w:lvl w:ilvl="1" w:tplc="792873B6">
      <w:numFmt w:val="decimal"/>
      <w:lvlText w:val=""/>
      <w:lvlJc w:val="left"/>
    </w:lvl>
    <w:lvl w:ilvl="2" w:tplc="8FFEA2B6">
      <w:numFmt w:val="decimal"/>
      <w:lvlText w:val=""/>
      <w:lvlJc w:val="left"/>
    </w:lvl>
    <w:lvl w:ilvl="3" w:tplc="C0A2C322">
      <w:numFmt w:val="decimal"/>
      <w:lvlText w:val=""/>
      <w:lvlJc w:val="left"/>
    </w:lvl>
    <w:lvl w:ilvl="4" w:tplc="76F03FDC">
      <w:numFmt w:val="decimal"/>
      <w:lvlText w:val=""/>
      <w:lvlJc w:val="left"/>
    </w:lvl>
    <w:lvl w:ilvl="5" w:tplc="27F8B17C">
      <w:numFmt w:val="decimal"/>
      <w:lvlText w:val=""/>
      <w:lvlJc w:val="left"/>
    </w:lvl>
    <w:lvl w:ilvl="6" w:tplc="784A1C60">
      <w:numFmt w:val="decimal"/>
      <w:lvlText w:val=""/>
      <w:lvlJc w:val="left"/>
    </w:lvl>
    <w:lvl w:ilvl="7" w:tplc="FFEC8B9A">
      <w:numFmt w:val="decimal"/>
      <w:lvlText w:val=""/>
      <w:lvlJc w:val="left"/>
    </w:lvl>
    <w:lvl w:ilvl="8" w:tplc="2E68DAC0">
      <w:numFmt w:val="decimal"/>
      <w:lvlText w:val=""/>
      <w:lvlJc w:val="left"/>
    </w:lvl>
  </w:abstractNum>
  <w:abstractNum w:abstractNumId="2" w15:restartNumberingAfterBreak="0">
    <w:nsid w:val="4D25502F"/>
    <w:multiLevelType w:val="hybridMultilevel"/>
    <w:tmpl w:val="CC8A8990"/>
    <w:lvl w:ilvl="0" w:tplc="20000017">
      <w:start w:val="1"/>
      <w:numFmt w:val="lowerLetter"/>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4FC3312D"/>
    <w:multiLevelType w:val="hybridMultilevel"/>
    <w:tmpl w:val="970E5D70"/>
    <w:lvl w:ilvl="0" w:tplc="F7B0BAFA">
      <w:start w:val="1"/>
      <w:numFmt w:val="bullet"/>
      <w:lvlText w:val="●"/>
      <w:lvlJc w:val="left"/>
      <w:pPr>
        <w:ind w:left="720" w:hanging="360"/>
      </w:pPr>
    </w:lvl>
    <w:lvl w:ilvl="1" w:tplc="BDAE5CFA">
      <w:start w:val="1"/>
      <w:numFmt w:val="bullet"/>
      <w:lvlText w:val="○"/>
      <w:lvlJc w:val="left"/>
      <w:pPr>
        <w:ind w:left="1440" w:hanging="360"/>
      </w:pPr>
    </w:lvl>
    <w:lvl w:ilvl="2" w:tplc="60FC07E2">
      <w:start w:val="1"/>
      <w:numFmt w:val="bullet"/>
      <w:lvlText w:val="■"/>
      <w:lvlJc w:val="left"/>
      <w:pPr>
        <w:ind w:left="2160" w:hanging="360"/>
      </w:pPr>
    </w:lvl>
    <w:lvl w:ilvl="3" w:tplc="D81E8E36">
      <w:start w:val="1"/>
      <w:numFmt w:val="bullet"/>
      <w:lvlText w:val="●"/>
      <w:lvlJc w:val="left"/>
      <w:pPr>
        <w:ind w:left="2880" w:hanging="360"/>
      </w:pPr>
    </w:lvl>
    <w:lvl w:ilvl="4" w:tplc="3448005E">
      <w:start w:val="1"/>
      <w:numFmt w:val="bullet"/>
      <w:lvlText w:val="○"/>
      <w:lvlJc w:val="left"/>
      <w:pPr>
        <w:ind w:left="3600" w:hanging="360"/>
      </w:pPr>
    </w:lvl>
    <w:lvl w:ilvl="5" w:tplc="73E48522">
      <w:start w:val="1"/>
      <w:numFmt w:val="bullet"/>
      <w:lvlText w:val="■"/>
      <w:lvlJc w:val="left"/>
      <w:pPr>
        <w:ind w:left="4320" w:hanging="360"/>
      </w:pPr>
    </w:lvl>
    <w:lvl w:ilvl="6" w:tplc="CADE251C">
      <w:start w:val="1"/>
      <w:numFmt w:val="bullet"/>
      <w:lvlText w:val="●"/>
      <w:lvlJc w:val="left"/>
      <w:pPr>
        <w:ind w:left="5040" w:hanging="360"/>
      </w:pPr>
    </w:lvl>
    <w:lvl w:ilvl="7" w:tplc="2FE4A38C">
      <w:start w:val="1"/>
      <w:numFmt w:val="bullet"/>
      <w:lvlText w:val="●"/>
      <w:lvlJc w:val="left"/>
      <w:pPr>
        <w:ind w:left="5760" w:hanging="360"/>
      </w:pPr>
    </w:lvl>
    <w:lvl w:ilvl="8" w:tplc="9C3E95BE">
      <w:start w:val="1"/>
      <w:numFmt w:val="bullet"/>
      <w:lvlText w:val="●"/>
      <w:lvlJc w:val="left"/>
      <w:pPr>
        <w:ind w:left="6480" w:hanging="360"/>
      </w:pPr>
    </w:lvl>
  </w:abstractNum>
  <w:abstractNum w:abstractNumId="4" w15:restartNumberingAfterBreak="0">
    <w:nsid w:val="597F162D"/>
    <w:multiLevelType w:val="hybridMultilevel"/>
    <w:tmpl w:val="D02230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5" w15:restartNumberingAfterBreak="0">
    <w:nsid w:val="746101EA"/>
    <w:multiLevelType w:val="hybridMultilevel"/>
    <w:tmpl w:val="795C516E"/>
    <w:lvl w:ilvl="0" w:tplc="847882E8">
      <w:start w:val="1"/>
      <w:numFmt w:val="lowerLetter"/>
      <w:lvlText w:val="(%1)"/>
      <w:lvlJc w:val="left"/>
      <w:pPr>
        <w:ind w:left="720" w:hanging="360"/>
      </w:pPr>
      <w:rPr>
        <w:rFonts w:hint="default"/>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386035283">
    <w:abstractNumId w:val="3"/>
    <w:lvlOverride w:ilvl="0">
      <w:startOverride w:val="1"/>
    </w:lvlOverride>
  </w:num>
  <w:num w:numId="2" w16cid:durableId="1735734712">
    <w:abstractNumId w:val="0"/>
    <w:lvlOverride w:ilvl="0">
      <w:startOverride w:val="1"/>
    </w:lvlOverride>
  </w:num>
  <w:num w:numId="3" w16cid:durableId="1938555035">
    <w:abstractNumId w:val="4"/>
  </w:num>
  <w:num w:numId="4" w16cid:durableId="175392594">
    <w:abstractNumId w:val="2"/>
  </w:num>
  <w:num w:numId="5" w16cid:durableId="81294035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5F7C"/>
    <w:rsid w:val="0002480D"/>
    <w:rsid w:val="000600FF"/>
    <w:rsid w:val="000D62DE"/>
    <w:rsid w:val="000F4A29"/>
    <w:rsid w:val="00126805"/>
    <w:rsid w:val="001D2D1B"/>
    <w:rsid w:val="002210A2"/>
    <w:rsid w:val="002419FE"/>
    <w:rsid w:val="002A5ED7"/>
    <w:rsid w:val="0036583C"/>
    <w:rsid w:val="003E13B8"/>
    <w:rsid w:val="00475D49"/>
    <w:rsid w:val="004861F3"/>
    <w:rsid w:val="00536781"/>
    <w:rsid w:val="005D612E"/>
    <w:rsid w:val="0066106F"/>
    <w:rsid w:val="0066148D"/>
    <w:rsid w:val="00727C71"/>
    <w:rsid w:val="007377DD"/>
    <w:rsid w:val="00743446"/>
    <w:rsid w:val="00765F7C"/>
    <w:rsid w:val="007B1DEA"/>
    <w:rsid w:val="007B3DE2"/>
    <w:rsid w:val="007C191E"/>
    <w:rsid w:val="007F6AC9"/>
    <w:rsid w:val="00831C96"/>
    <w:rsid w:val="0086681C"/>
    <w:rsid w:val="00886415"/>
    <w:rsid w:val="008A42EF"/>
    <w:rsid w:val="008D434F"/>
    <w:rsid w:val="0093427F"/>
    <w:rsid w:val="00956EE0"/>
    <w:rsid w:val="009D0EEA"/>
    <w:rsid w:val="009E543D"/>
    <w:rsid w:val="00B851B0"/>
    <w:rsid w:val="00C33B23"/>
    <w:rsid w:val="00C82923"/>
    <w:rsid w:val="00CA2187"/>
    <w:rsid w:val="00CE03F1"/>
    <w:rsid w:val="00D44928"/>
    <w:rsid w:val="00D56A07"/>
    <w:rsid w:val="00DA3ED6"/>
    <w:rsid w:val="00E72C3E"/>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DD7D7D"/>
  <w15:docId w15:val="{1047DC1C-D14C-487C-9395-46BC703A8A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color w:val="1C1C1C"/>
        <w:sz w:val="22"/>
        <w:szCs w:val="22"/>
        <w:lang w:val="en-PK" w:eastAsia="en-P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612E"/>
    <w:pPr>
      <w:spacing w:line="360" w:lineRule="auto"/>
      <w:jc w:val="both"/>
    </w:pPr>
  </w:style>
  <w:style w:type="paragraph" w:styleId="Heading1">
    <w:name w:val="heading 1"/>
    <w:uiPriority w:val="9"/>
    <w:qFormat/>
    <w:rsid w:val="0066148D"/>
    <w:pPr>
      <w:pBdr>
        <w:bottom w:val="single" w:sz="8" w:space="1" w:color="1A2E4A"/>
      </w:pBdr>
      <w:spacing w:before="400" w:after="160" w:line="360" w:lineRule="auto"/>
      <w:outlineLvl w:val="0"/>
    </w:pPr>
    <w:rPr>
      <w:rFonts w:asciiTheme="majorBidi" w:eastAsia="Calibri" w:hAnsiTheme="majorBidi" w:cs="Calibri"/>
      <w:b/>
      <w:bCs/>
      <w:color w:val="auto"/>
      <w:sz w:val="30"/>
      <w:szCs w:val="30"/>
    </w:rPr>
  </w:style>
  <w:style w:type="paragraph" w:styleId="Heading2">
    <w:name w:val="heading 2"/>
    <w:uiPriority w:val="9"/>
    <w:unhideWhenUsed/>
    <w:qFormat/>
    <w:rsid w:val="005D612E"/>
    <w:pPr>
      <w:spacing w:before="300" w:after="120" w:line="360" w:lineRule="auto"/>
      <w:outlineLvl w:val="1"/>
    </w:pPr>
    <w:rPr>
      <w:rFonts w:ascii="Arial" w:eastAsia="Calibri" w:hAnsi="Arial" w:cs="Calibri"/>
      <w:b/>
      <w:bCs/>
      <w:color w:val="auto"/>
      <w:sz w:val="26"/>
      <w:szCs w:val="26"/>
    </w:rPr>
  </w:style>
  <w:style w:type="paragraph" w:styleId="Heading3">
    <w:name w:val="heading 3"/>
    <w:uiPriority w:val="9"/>
    <w:unhideWhenUsed/>
    <w:qFormat/>
    <w:rsid w:val="005D612E"/>
    <w:pPr>
      <w:spacing w:before="340" w:after="200" w:line="360" w:lineRule="auto"/>
      <w:outlineLvl w:val="2"/>
    </w:pPr>
    <w:rPr>
      <w:rFonts w:ascii="Arial" w:eastAsia="Calibri" w:hAnsi="Arial" w:cs="Calibri"/>
      <w:b/>
      <w:bCs/>
      <w:iCs/>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956EE0"/>
    <w:rPr>
      <w:color w:val="605E5C"/>
      <w:shd w:val="clear" w:color="auto" w:fill="E1DFDD"/>
    </w:rPr>
  </w:style>
  <w:style w:type="character" w:styleId="FollowedHyperlink">
    <w:name w:val="FollowedHyperlink"/>
    <w:basedOn w:val="DefaultParagraphFont"/>
    <w:uiPriority w:val="99"/>
    <w:semiHidden/>
    <w:unhideWhenUsed/>
    <w:rsid w:val="00956EE0"/>
    <w:rPr>
      <w:color w:val="954F72" w:themeColor="followedHyperlink"/>
      <w:u w:val="single"/>
    </w:rPr>
  </w:style>
  <w:style w:type="paragraph" w:styleId="Header">
    <w:name w:val="header"/>
    <w:basedOn w:val="Normal"/>
    <w:link w:val="HeaderChar"/>
    <w:uiPriority w:val="99"/>
    <w:unhideWhenUsed/>
    <w:rsid w:val="00E72C3E"/>
    <w:pPr>
      <w:tabs>
        <w:tab w:val="center" w:pos="4513"/>
        <w:tab w:val="right" w:pos="9026"/>
      </w:tabs>
      <w:spacing w:line="240" w:lineRule="auto"/>
    </w:pPr>
  </w:style>
  <w:style w:type="character" w:customStyle="1" w:styleId="HeaderChar">
    <w:name w:val="Header Char"/>
    <w:basedOn w:val="DefaultParagraphFont"/>
    <w:link w:val="Header"/>
    <w:uiPriority w:val="99"/>
    <w:rsid w:val="00E72C3E"/>
    <w:rPr>
      <w:sz w:val="24"/>
    </w:rPr>
  </w:style>
  <w:style w:type="paragraph" w:styleId="Footer">
    <w:name w:val="footer"/>
    <w:basedOn w:val="Normal"/>
    <w:link w:val="FooterChar"/>
    <w:uiPriority w:val="99"/>
    <w:unhideWhenUsed/>
    <w:rsid w:val="00E72C3E"/>
    <w:pPr>
      <w:tabs>
        <w:tab w:val="center" w:pos="4513"/>
        <w:tab w:val="right" w:pos="9026"/>
      </w:tabs>
      <w:spacing w:line="240" w:lineRule="auto"/>
    </w:pPr>
  </w:style>
  <w:style w:type="character" w:customStyle="1" w:styleId="FooterChar">
    <w:name w:val="Footer Char"/>
    <w:basedOn w:val="DefaultParagraphFont"/>
    <w:link w:val="Footer"/>
    <w:uiPriority w:val="99"/>
    <w:rsid w:val="00E72C3E"/>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80/13613324.2017.1377417" TargetMode="External"/><Relationship Id="rId18" Type="http://schemas.openxmlformats.org/officeDocument/2006/relationships/hyperlink" Target="https://doi.org/10.1177/1527476419831640"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doi.org/10.1177/1534484316671606" TargetMode="External"/><Relationship Id="rId7" Type="http://schemas.openxmlformats.org/officeDocument/2006/relationships/image" Target="media/image1.png"/><Relationship Id="rId12" Type="http://schemas.openxmlformats.org/officeDocument/2006/relationships/hyperlink" Target="https://doi.org/10.1080/0305764X.2021.2002811" TargetMode="External"/><Relationship Id="rId17" Type="http://schemas.openxmlformats.org/officeDocument/2006/relationships/hyperlink" Target="https://doi.org/10.71317/RJSA.003.06.0523"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doi.org/10.1080/17439884.2022.2035395" TargetMode="External"/><Relationship Id="rId20" Type="http://schemas.openxmlformats.org/officeDocument/2006/relationships/hyperlink" Target="https://doi.org/10.1080/01425692.2023.225698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111/bjet.13514" TargetMode="External"/><Relationship Id="rId24" Type="http://schemas.openxmlformats.org/officeDocument/2006/relationships/hyperlink" Target="https://doi.org/10.24908/ss.v12i2.4776" TargetMode="External"/><Relationship Id="rId5" Type="http://schemas.openxmlformats.org/officeDocument/2006/relationships/footnotes" Target="footnotes.xml"/><Relationship Id="rId15" Type="http://schemas.openxmlformats.org/officeDocument/2006/relationships/hyperlink" Target="https://doi.org/10.1080/01425692.2025.2501118" TargetMode="External"/><Relationship Id="rId23" Type="http://schemas.openxmlformats.org/officeDocument/2006/relationships/hyperlink" Target="https://www.unicef.org/innocenti/reports/data-governance-edtech" TargetMode="External"/><Relationship Id="rId10" Type="http://schemas.openxmlformats.org/officeDocument/2006/relationships/hyperlink" Target="https://doi.org/10.1177/1527476418796632" TargetMode="External"/><Relationship Id="rId19" Type="http://schemas.openxmlformats.org/officeDocument/2006/relationships/hyperlink" Target="https://doi.org/10.1016/j.geoforum.2015.07.002" TargetMode="External"/><Relationship Id="rId4" Type="http://schemas.openxmlformats.org/officeDocument/2006/relationships/webSettings" Target="webSettings.xml"/><Relationship Id="rId9" Type="http://schemas.openxmlformats.org/officeDocument/2006/relationships/hyperlink" Target="https://doi.org/10.1080/17439884.2018.1511577" TargetMode="External"/><Relationship Id="rId14" Type="http://schemas.openxmlformats.org/officeDocument/2006/relationships/hyperlink" Target="https://doi.org/10.1093/ips/olad007" TargetMode="External"/><Relationship Id="rId22" Type="http://schemas.openxmlformats.org/officeDocument/2006/relationships/hyperlink" Target="https://doi.org/10.54676/UZQV85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342</TotalTime>
  <Pages>25</Pages>
  <Words>8116</Words>
  <Characters>46265</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Younas M.</cp:lastModifiedBy>
  <cp:revision>13</cp:revision>
  <dcterms:created xsi:type="dcterms:W3CDTF">2026-04-11T03:38:00Z</dcterms:created>
  <dcterms:modified xsi:type="dcterms:W3CDTF">2026-08-23T09:13:00Z</dcterms:modified>
</cp:coreProperties>
</file>